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pPr w:leftFromText="180" w:rightFromText="180" w:vertAnchor="page" w:horzAnchor="margin" w:tblpY="816"/>
        <w:tblW w:w="0" w:type="auto"/>
        <w:tblLook w:val="04A0" w:firstRow="1" w:lastRow="0" w:firstColumn="1" w:lastColumn="0" w:noHBand="0" w:noVBand="1"/>
      </w:tblPr>
      <w:tblGrid>
        <w:gridCol w:w="4462"/>
      </w:tblGrid>
      <w:tr w:rsidR="008854B7" w14:paraId="71598311" w14:textId="77777777" w:rsidTr="00874695">
        <w:trPr>
          <w:cnfStyle w:val="100000000000" w:firstRow="1" w:lastRow="0" w:firstColumn="0" w:lastColumn="0" w:oddVBand="0" w:evenVBand="0" w:oddHBand="0" w:evenHBand="0" w:firstRowFirstColumn="0" w:firstRowLastColumn="0" w:lastRowFirstColumn="0" w:lastRowLastColumn="0"/>
          <w:trHeight w:val="5798"/>
        </w:trPr>
        <w:tc>
          <w:tcPr>
            <w:cnfStyle w:val="001000000000" w:firstRow="0" w:lastRow="0" w:firstColumn="1" w:lastColumn="0" w:oddVBand="0" w:evenVBand="0" w:oddHBand="0" w:evenHBand="0" w:firstRowFirstColumn="0" w:firstRowLastColumn="0" w:lastRowFirstColumn="0" w:lastRowLastColumn="0"/>
            <w:tcW w:w="4462" w:type="dxa"/>
            <w:tcBorders>
              <w:right w:val="single" w:sz="4" w:space="0" w:color="auto"/>
            </w:tcBorders>
          </w:tcPr>
          <w:p w14:paraId="3B8898E9" w14:textId="5C549FD2" w:rsidR="00FE10CE" w:rsidRDefault="00660C79" w:rsidP="00FE10CE">
            <w:pPr>
              <w:spacing w:line="276" w:lineRule="auto"/>
              <w:jc w:val="center"/>
              <w:rPr>
                <w:rFonts w:ascii="Times New Roman" w:hAnsi="Times New Roman" w:cs="Times New Roman"/>
                <w:b w:val="0"/>
                <w:bCs w:val="0"/>
                <w:noProof/>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4A38BD2F" wp14:editId="47A96126">
                  <wp:simplePos x="0" y="0"/>
                  <wp:positionH relativeFrom="column">
                    <wp:posOffset>650240</wp:posOffset>
                  </wp:positionH>
                  <wp:positionV relativeFrom="paragraph">
                    <wp:posOffset>-22631</wp:posOffset>
                  </wp:positionV>
                  <wp:extent cx="904590" cy="1006000"/>
                  <wp:effectExtent l="0" t="0" r="0" b="3810"/>
                  <wp:wrapNone/>
                  <wp:docPr id="7720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00626" name="Picture 1"/>
                          <pic:cNvPicPr/>
                        </pic:nvPicPr>
                        <pic:blipFill rotWithShape="1">
                          <a:blip r:embed="rId8" cstate="print">
                            <a:extLst>
                              <a:ext uri="{28A0092B-C50C-407E-A947-70E740481C1C}">
                                <a14:useLocalDpi xmlns:a14="http://schemas.microsoft.com/office/drawing/2010/main" val="0"/>
                              </a:ext>
                            </a:extLst>
                          </a:blip>
                          <a:srcRect l="25899" t="3862" r="25440" b="19596"/>
                          <a:stretch/>
                        </pic:blipFill>
                        <pic:spPr bwMode="auto">
                          <a:xfrm>
                            <a:off x="0" y="0"/>
                            <a:ext cx="904590" cy="100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9B0AD7" w14:textId="3D0DFAA0" w:rsidR="001C3453" w:rsidRDefault="001C3453" w:rsidP="00FE10CE">
            <w:pPr>
              <w:jc w:val="center"/>
              <w:rPr>
                <w:rFonts w:ascii="Times New Roman" w:hAnsi="Times New Roman" w:cs="Times New Roman"/>
                <w:b w:val="0"/>
                <w:bCs w:val="0"/>
                <w:sz w:val="28"/>
                <w:szCs w:val="28"/>
              </w:rPr>
            </w:pPr>
          </w:p>
          <w:p w14:paraId="255439A3" w14:textId="77777777" w:rsidR="001C3453" w:rsidRDefault="001C3453" w:rsidP="00FE10CE">
            <w:pPr>
              <w:jc w:val="center"/>
              <w:rPr>
                <w:rFonts w:ascii="Times New Roman" w:hAnsi="Times New Roman" w:cs="Times New Roman"/>
                <w:b w:val="0"/>
                <w:bCs w:val="0"/>
                <w:sz w:val="28"/>
                <w:szCs w:val="28"/>
              </w:rPr>
            </w:pPr>
          </w:p>
          <w:p w14:paraId="0100DD4D" w14:textId="77777777" w:rsidR="001C3453" w:rsidRDefault="001C3453" w:rsidP="00FE10CE">
            <w:pPr>
              <w:jc w:val="center"/>
              <w:rPr>
                <w:rFonts w:ascii="Times New Roman" w:hAnsi="Times New Roman" w:cs="Times New Roman"/>
                <w:b w:val="0"/>
                <w:bCs w:val="0"/>
                <w:sz w:val="28"/>
                <w:szCs w:val="28"/>
              </w:rPr>
            </w:pPr>
          </w:p>
          <w:p w14:paraId="5BD0BB73" w14:textId="77777777" w:rsidR="001C3453" w:rsidRDefault="001C3453" w:rsidP="00FE10CE">
            <w:pPr>
              <w:jc w:val="center"/>
              <w:rPr>
                <w:rFonts w:ascii="Times New Roman" w:hAnsi="Times New Roman" w:cs="Times New Roman"/>
                <w:b w:val="0"/>
                <w:bCs w:val="0"/>
                <w:sz w:val="28"/>
                <w:szCs w:val="28"/>
              </w:rPr>
            </w:pPr>
          </w:p>
          <w:p w14:paraId="0421B6FF" w14:textId="7E60B38E" w:rsidR="00FE10CE" w:rsidRPr="00FE10CE" w:rsidRDefault="00FE10CE" w:rsidP="00FE10CE">
            <w:pPr>
              <w:jc w:val="center"/>
              <w:rPr>
                <w:rFonts w:ascii="Times New Roman" w:hAnsi="Times New Roman" w:cs="Times New Roman"/>
                <w:sz w:val="28"/>
                <w:szCs w:val="28"/>
              </w:rPr>
            </w:pPr>
            <w:r w:rsidRPr="00FE10CE">
              <w:rPr>
                <w:rFonts w:ascii="Times New Roman" w:hAnsi="Times New Roman" w:cs="Times New Roman"/>
                <w:sz w:val="28"/>
                <w:szCs w:val="28"/>
              </w:rPr>
              <w:t>Wisdom Vortex</w:t>
            </w:r>
            <w:r w:rsidR="004D1FAA">
              <w:rPr>
                <w:rFonts w:ascii="Times New Roman" w:hAnsi="Times New Roman" w:cs="Times New Roman"/>
                <w:sz w:val="28"/>
                <w:szCs w:val="28"/>
              </w:rPr>
              <w:t>:</w:t>
            </w:r>
          </w:p>
          <w:p w14:paraId="58BC8881" w14:textId="77777777" w:rsidR="00FE10CE" w:rsidRPr="00FE10CE" w:rsidRDefault="00FE10CE" w:rsidP="00FE10CE">
            <w:pPr>
              <w:jc w:val="center"/>
              <w:rPr>
                <w:rFonts w:ascii="Times New Roman" w:hAnsi="Times New Roman" w:cs="Times New Roman"/>
                <w:b w:val="0"/>
                <w:bCs w:val="0"/>
                <w:sz w:val="20"/>
                <w:szCs w:val="20"/>
              </w:rPr>
            </w:pPr>
            <w:r w:rsidRPr="00FE10CE">
              <w:rPr>
                <w:rFonts w:ascii="Times New Roman" w:hAnsi="Times New Roman" w:cs="Times New Roman"/>
                <w:b w:val="0"/>
                <w:bCs w:val="0"/>
                <w:sz w:val="20"/>
                <w:szCs w:val="20"/>
              </w:rPr>
              <w:t>International Journal of Social Science and Humanities</w:t>
            </w:r>
          </w:p>
          <w:p w14:paraId="1B69E945" w14:textId="77777777" w:rsidR="00FE10CE" w:rsidRPr="00FE10CE" w:rsidRDefault="00FE10CE" w:rsidP="00FE10CE">
            <w:pPr>
              <w:jc w:val="center"/>
              <w:rPr>
                <w:rFonts w:ascii="Times New Roman" w:hAnsi="Times New Roman" w:cs="Times New Roman"/>
                <w:b w:val="0"/>
                <w:bCs w:val="0"/>
                <w:sz w:val="20"/>
                <w:szCs w:val="20"/>
              </w:rPr>
            </w:pPr>
          </w:p>
          <w:p w14:paraId="6B714171" w14:textId="1BEDC739" w:rsidR="00FE10CE" w:rsidRPr="00FE10CE" w:rsidRDefault="00FE10CE" w:rsidP="00FE10CE">
            <w:pPr>
              <w:jc w:val="center"/>
              <w:rPr>
                <w:rFonts w:ascii="Times New Roman" w:hAnsi="Times New Roman" w:cs="Times New Roman"/>
                <w:b w:val="0"/>
                <w:bCs w:val="0"/>
                <w:sz w:val="20"/>
                <w:szCs w:val="20"/>
              </w:rPr>
            </w:pPr>
            <w:r w:rsidRPr="00FE10CE">
              <w:rPr>
                <w:rFonts w:ascii="Times New Roman" w:hAnsi="Times New Roman" w:cs="Times New Roman"/>
                <w:b w:val="0"/>
                <w:bCs w:val="0"/>
                <w:sz w:val="20"/>
                <w:szCs w:val="20"/>
              </w:rPr>
              <w:t xml:space="preserve">Bi-lingual, Open-access, Peer Reviewed, </w:t>
            </w:r>
            <w:r w:rsidR="003646BD">
              <w:rPr>
                <w:rFonts w:ascii="Times New Roman" w:hAnsi="Times New Roman" w:cs="Times New Roman"/>
                <w:b w:val="0"/>
                <w:bCs w:val="0"/>
                <w:sz w:val="20"/>
                <w:szCs w:val="20"/>
              </w:rPr>
              <w:t xml:space="preserve">Refereed, </w:t>
            </w:r>
            <w:r w:rsidRPr="00FE10CE">
              <w:rPr>
                <w:rFonts w:ascii="Times New Roman" w:hAnsi="Times New Roman" w:cs="Times New Roman"/>
                <w:b w:val="0"/>
                <w:bCs w:val="0"/>
                <w:sz w:val="20"/>
                <w:szCs w:val="20"/>
              </w:rPr>
              <w:t>Quarterly Journal</w:t>
            </w:r>
          </w:p>
          <w:p w14:paraId="5D903469" w14:textId="77777777" w:rsidR="00FE10CE" w:rsidRPr="00FE10CE" w:rsidRDefault="00FE10CE" w:rsidP="00FE10CE">
            <w:pPr>
              <w:jc w:val="center"/>
              <w:rPr>
                <w:rFonts w:ascii="Times New Roman" w:hAnsi="Times New Roman" w:cs="Times New Roman"/>
                <w:b w:val="0"/>
                <w:bCs w:val="0"/>
                <w:sz w:val="20"/>
                <w:szCs w:val="20"/>
              </w:rPr>
            </w:pPr>
          </w:p>
          <w:p w14:paraId="5B6F921E" w14:textId="48C16B41" w:rsidR="00FE10CE" w:rsidRPr="00B25A87" w:rsidRDefault="00120413" w:rsidP="00FE10CE">
            <w:pPr>
              <w:jc w:val="center"/>
              <w:rPr>
                <w:rFonts w:ascii="Times New Roman" w:hAnsi="Times New Roman" w:cs="Times New Roman"/>
                <w:sz w:val="20"/>
                <w:szCs w:val="20"/>
              </w:rPr>
            </w:pPr>
            <w:r w:rsidRPr="00B25A87">
              <w:rPr>
                <w:rFonts w:ascii="Times New Roman" w:hAnsi="Times New Roman" w:cs="Times New Roman"/>
                <w:sz w:val="20"/>
                <w:szCs w:val="20"/>
              </w:rPr>
              <w:t>e</w:t>
            </w:r>
            <w:r w:rsidR="00B25A87">
              <w:rPr>
                <w:rFonts w:ascii="Times New Roman" w:hAnsi="Times New Roman" w:cs="Times New Roman"/>
                <w:sz w:val="20"/>
                <w:szCs w:val="20"/>
              </w:rPr>
              <w:t>-</w:t>
            </w:r>
            <w:r w:rsidR="00FE10CE" w:rsidRPr="00B25A87">
              <w:rPr>
                <w:rFonts w:ascii="Times New Roman" w:hAnsi="Times New Roman" w:cs="Times New Roman"/>
                <w:sz w:val="20"/>
                <w:szCs w:val="20"/>
              </w:rPr>
              <w:t xml:space="preserve">ISSN: </w:t>
            </w:r>
            <w:r w:rsidR="00B25A87" w:rsidRPr="00B25A87">
              <w:rPr>
                <w:rFonts w:ascii="Times New Roman" w:hAnsi="Times New Roman" w:cs="Times New Roman"/>
                <w:sz w:val="20"/>
                <w:szCs w:val="20"/>
              </w:rPr>
              <w:t>3107-3808</w:t>
            </w:r>
          </w:p>
          <w:p w14:paraId="1C932B32" w14:textId="77777777" w:rsidR="00FE10CE" w:rsidRPr="00FE10CE" w:rsidRDefault="00FE10CE" w:rsidP="00FE10CE">
            <w:pPr>
              <w:jc w:val="center"/>
              <w:rPr>
                <w:rFonts w:ascii="Times New Roman" w:hAnsi="Times New Roman" w:cs="Times New Roman"/>
                <w:b w:val="0"/>
                <w:bCs w:val="0"/>
                <w:sz w:val="20"/>
                <w:szCs w:val="20"/>
              </w:rPr>
            </w:pPr>
          </w:p>
          <w:p w14:paraId="6D32F8BB" w14:textId="7A062F69" w:rsidR="00FE10CE" w:rsidRPr="00FE10CE" w:rsidRDefault="00ED716E" w:rsidP="00FE10CE">
            <w:pPr>
              <w:jc w:val="center"/>
              <w:rPr>
                <w:rFonts w:ascii="Times New Roman" w:hAnsi="Times New Roman" w:cs="Times New Roman"/>
                <w:b w:val="0"/>
                <w:bCs w:val="0"/>
                <w:sz w:val="20"/>
                <w:szCs w:val="20"/>
              </w:rPr>
            </w:pPr>
            <w:r>
              <w:rPr>
                <w:rFonts w:ascii="Times New Roman" w:hAnsi="Times New Roman" w:cs="Times New Roman"/>
                <w:b w:val="0"/>
                <w:bCs w:val="0"/>
                <w:sz w:val="20"/>
                <w:szCs w:val="20"/>
              </w:rPr>
              <w:t xml:space="preserve">Wisdom Vortex: </w:t>
            </w:r>
            <w:r w:rsidRPr="00FE10CE">
              <w:rPr>
                <w:rFonts w:ascii="Times New Roman" w:hAnsi="Times New Roman" w:cs="Times New Roman"/>
                <w:b w:val="0"/>
                <w:bCs w:val="0"/>
                <w:sz w:val="20"/>
                <w:szCs w:val="20"/>
              </w:rPr>
              <w:t xml:space="preserve"> International Journal of Social Science and Humanities</w:t>
            </w:r>
            <w:r>
              <w:rPr>
                <w:rFonts w:ascii="Times New Roman" w:hAnsi="Times New Roman" w:cs="Times New Roman"/>
                <w:b w:val="0"/>
                <w:bCs w:val="0"/>
                <w:sz w:val="20"/>
                <w:szCs w:val="20"/>
              </w:rPr>
              <w:t xml:space="preserve">, </w:t>
            </w:r>
            <w:r w:rsidR="00FE10CE" w:rsidRPr="00FE10CE">
              <w:rPr>
                <w:rFonts w:ascii="Times New Roman" w:hAnsi="Times New Roman" w:cs="Times New Roman"/>
                <w:b w:val="0"/>
                <w:bCs w:val="0"/>
                <w:sz w:val="20"/>
                <w:szCs w:val="20"/>
              </w:rPr>
              <w:t>Volume: 01</w:t>
            </w:r>
            <w:r>
              <w:rPr>
                <w:rFonts w:ascii="Times New Roman" w:hAnsi="Times New Roman" w:cs="Times New Roman"/>
                <w:b w:val="0"/>
                <w:bCs w:val="0"/>
                <w:sz w:val="20"/>
                <w:szCs w:val="20"/>
              </w:rPr>
              <w:t>,</w:t>
            </w:r>
          </w:p>
          <w:p w14:paraId="735079B1" w14:textId="07FC70DA" w:rsidR="00FE10CE" w:rsidRPr="00FE10CE" w:rsidRDefault="007336A5" w:rsidP="00ED716E">
            <w:pPr>
              <w:jc w:val="center"/>
              <w:rPr>
                <w:rFonts w:ascii="Times New Roman" w:hAnsi="Times New Roman" w:cs="Times New Roman"/>
                <w:sz w:val="20"/>
                <w:szCs w:val="20"/>
              </w:rPr>
            </w:pPr>
            <w:r w:rsidRPr="00FE10CE">
              <w:rPr>
                <w:rFonts w:ascii="Times New Roman" w:hAnsi="Times New Roman" w:cs="Times New Roman"/>
                <w:b w:val="0"/>
                <w:bCs w:val="0"/>
                <w:sz w:val="20"/>
                <w:szCs w:val="20"/>
              </w:rPr>
              <w:t xml:space="preserve">Issue: </w:t>
            </w:r>
            <w:r>
              <w:rPr>
                <w:rFonts w:ascii="Times New Roman" w:hAnsi="Times New Roman" w:cs="Times New Roman"/>
                <w:b w:val="0"/>
                <w:bCs w:val="0"/>
                <w:sz w:val="20"/>
                <w:szCs w:val="20"/>
              </w:rPr>
              <w:t>0</w:t>
            </w:r>
            <w:r w:rsidR="0028366C">
              <w:rPr>
                <w:rFonts w:ascii="Times New Roman" w:hAnsi="Times New Roman" w:cs="Times New Roman"/>
                <w:b w:val="0"/>
                <w:bCs w:val="0"/>
                <w:sz w:val="20"/>
                <w:szCs w:val="20"/>
              </w:rPr>
              <w:t>4</w:t>
            </w:r>
            <w:r>
              <w:rPr>
                <w:rFonts w:ascii="Times New Roman" w:hAnsi="Times New Roman" w:cs="Times New Roman"/>
                <w:b w:val="0"/>
                <w:bCs w:val="0"/>
                <w:sz w:val="20"/>
                <w:szCs w:val="20"/>
              </w:rPr>
              <w:t xml:space="preserve">, </w:t>
            </w:r>
            <w:r w:rsidR="0028366C">
              <w:rPr>
                <w:rFonts w:ascii="Times New Roman" w:hAnsi="Times New Roman" w:cs="Times New Roman"/>
                <w:b w:val="0"/>
                <w:bCs w:val="0"/>
                <w:sz w:val="20"/>
                <w:szCs w:val="20"/>
              </w:rPr>
              <w:t>Jan-Mar</w:t>
            </w:r>
            <w:r w:rsidRPr="00FE10CE">
              <w:rPr>
                <w:rFonts w:ascii="Times New Roman" w:hAnsi="Times New Roman" w:cs="Times New Roman"/>
                <w:b w:val="0"/>
                <w:bCs w:val="0"/>
                <w:sz w:val="20"/>
                <w:szCs w:val="20"/>
              </w:rPr>
              <w:t xml:space="preserve"> 202</w:t>
            </w:r>
            <w:r w:rsidR="0028366C">
              <w:rPr>
                <w:rFonts w:ascii="Times New Roman" w:hAnsi="Times New Roman" w:cs="Times New Roman"/>
                <w:b w:val="0"/>
                <w:bCs w:val="0"/>
                <w:sz w:val="20"/>
                <w:szCs w:val="20"/>
              </w:rPr>
              <w:t>6</w:t>
            </w:r>
          </w:p>
        </w:tc>
      </w:tr>
      <w:tr w:rsidR="008854B7" w14:paraId="114B8932" w14:textId="77777777" w:rsidTr="00874695">
        <w:trPr>
          <w:cnfStyle w:val="000000100000" w:firstRow="0" w:lastRow="0" w:firstColumn="0" w:lastColumn="0" w:oddVBand="0" w:evenVBand="0" w:oddHBand="1" w:evenHBand="0" w:firstRowFirstColumn="0" w:firstRowLastColumn="0" w:lastRowFirstColumn="0" w:lastRowLastColumn="0"/>
          <w:trHeight w:val="8018"/>
        </w:trPr>
        <w:tc>
          <w:tcPr>
            <w:cnfStyle w:val="001000000000" w:firstRow="0" w:lastRow="0" w:firstColumn="1" w:lastColumn="0" w:oddVBand="0" w:evenVBand="0" w:oddHBand="0" w:evenHBand="0" w:firstRowFirstColumn="0" w:firstRowLastColumn="0" w:lastRowFirstColumn="0" w:lastRowLastColumn="0"/>
            <w:tcW w:w="4462" w:type="dxa"/>
            <w:tcBorders>
              <w:right w:val="single" w:sz="4" w:space="0" w:color="auto"/>
            </w:tcBorders>
            <w:shd w:val="clear" w:color="auto" w:fill="auto"/>
          </w:tcPr>
          <w:p w14:paraId="6D03F81E" w14:textId="77777777" w:rsidR="00FE10CE" w:rsidRPr="00FE7EAF" w:rsidRDefault="00FE10CE" w:rsidP="008854B7">
            <w:pPr>
              <w:jc w:val="both"/>
              <w:rPr>
                <w:rFonts w:ascii="Times New Roman" w:hAnsi="Times New Roman" w:cs="Times New Roman"/>
                <w:sz w:val="18"/>
                <w:szCs w:val="18"/>
              </w:rPr>
            </w:pPr>
            <w:r w:rsidRPr="00FE7EAF">
              <w:rPr>
                <w:rFonts w:ascii="Times New Roman" w:hAnsi="Times New Roman" w:cs="Times New Roman"/>
                <w:sz w:val="18"/>
                <w:szCs w:val="18"/>
              </w:rPr>
              <w:t>How to cite this paper:</w:t>
            </w:r>
          </w:p>
          <w:p w14:paraId="4790A2E7" w14:textId="7AC1E4DF" w:rsidR="00F556AB" w:rsidRDefault="00E014E3" w:rsidP="008854B7">
            <w:pPr>
              <w:jc w:val="both"/>
              <w:rPr>
                <w:rFonts w:ascii="Times New Roman" w:hAnsi="Times New Roman" w:cs="Times New Roman"/>
                <w:sz w:val="18"/>
                <w:szCs w:val="18"/>
              </w:rPr>
            </w:pPr>
            <w:r>
              <w:rPr>
                <w:rFonts w:ascii="Times New Roman" w:hAnsi="Times New Roman" w:cs="Times New Roman"/>
                <w:b w:val="0"/>
                <w:bCs w:val="0"/>
                <w:sz w:val="18"/>
                <w:szCs w:val="18"/>
                <w:lang w:val="en-IN"/>
              </w:rPr>
              <w:t>Prajapati</w:t>
            </w:r>
            <w:r w:rsidR="00013FAC">
              <w:rPr>
                <w:rFonts w:ascii="Times New Roman" w:hAnsi="Times New Roman" w:cs="Times New Roman"/>
                <w:b w:val="0"/>
                <w:bCs w:val="0"/>
                <w:sz w:val="18"/>
                <w:szCs w:val="18"/>
                <w:lang w:val="en-IN"/>
              </w:rPr>
              <w:t xml:space="preserve">, </w:t>
            </w:r>
            <w:r>
              <w:rPr>
                <w:rFonts w:ascii="Times New Roman" w:hAnsi="Times New Roman" w:cs="Times New Roman"/>
                <w:b w:val="0"/>
                <w:bCs w:val="0"/>
                <w:sz w:val="18"/>
                <w:szCs w:val="18"/>
                <w:lang w:val="en-IN"/>
              </w:rPr>
              <w:t>S</w:t>
            </w:r>
            <w:r w:rsidR="00013FAC">
              <w:rPr>
                <w:rFonts w:ascii="Times New Roman" w:hAnsi="Times New Roman" w:cs="Times New Roman"/>
                <w:b w:val="0"/>
                <w:bCs w:val="0"/>
                <w:sz w:val="18"/>
                <w:szCs w:val="18"/>
                <w:lang w:val="en-IN"/>
              </w:rPr>
              <w:t>.</w:t>
            </w:r>
            <w:r w:rsidR="00335081">
              <w:rPr>
                <w:rFonts w:ascii="Times New Roman" w:hAnsi="Times New Roman" w:cs="Times New Roman"/>
                <w:b w:val="0"/>
                <w:bCs w:val="0"/>
                <w:sz w:val="18"/>
                <w:szCs w:val="18"/>
                <w:lang w:val="en-IN"/>
              </w:rPr>
              <w:t xml:space="preserve"> </w:t>
            </w:r>
            <w:r w:rsidR="00FE10CE" w:rsidRPr="00B70FE0">
              <w:rPr>
                <w:rFonts w:ascii="Times New Roman" w:hAnsi="Times New Roman" w:cs="Times New Roman"/>
                <w:b w:val="0"/>
                <w:bCs w:val="0"/>
                <w:sz w:val="18"/>
                <w:szCs w:val="18"/>
                <w:lang w:val="en-IN"/>
              </w:rPr>
              <w:t>(202</w:t>
            </w:r>
            <w:r w:rsidR="0028366C">
              <w:rPr>
                <w:rFonts w:ascii="Times New Roman" w:hAnsi="Times New Roman" w:cs="Times New Roman"/>
                <w:b w:val="0"/>
                <w:bCs w:val="0"/>
                <w:sz w:val="18"/>
                <w:szCs w:val="18"/>
                <w:lang w:val="en-IN"/>
              </w:rPr>
              <w:t>6</w:t>
            </w:r>
            <w:r w:rsidR="001934A1">
              <w:rPr>
                <w:rFonts w:ascii="Times New Roman" w:hAnsi="Times New Roman" w:cs="Times New Roman"/>
                <w:b w:val="0"/>
                <w:bCs w:val="0"/>
                <w:sz w:val="18"/>
                <w:szCs w:val="18"/>
                <w:lang w:val="en-IN"/>
              </w:rPr>
              <w:t>).</w:t>
            </w:r>
            <w:r w:rsidR="0050723B">
              <w:rPr>
                <w:rFonts w:ascii="Times New Roman" w:hAnsi="Times New Roman" w:cs="Times New Roman"/>
                <w:sz w:val="18"/>
                <w:szCs w:val="18"/>
                <w:lang w:val="en-IN"/>
              </w:rPr>
              <w:t xml:space="preserve"> </w:t>
            </w:r>
            <w:r w:rsidRPr="00E014E3">
              <w:rPr>
                <w:rFonts w:ascii="Times New Roman" w:hAnsi="Times New Roman" w:cs="Times New Roman"/>
                <w:b w:val="0"/>
                <w:bCs w:val="0"/>
                <w:sz w:val="18"/>
                <w:szCs w:val="18"/>
                <w:lang w:val="en-IN"/>
              </w:rPr>
              <w:t>Museums, Repatriation, and the Politics of Belonging: Decolonizing Anthropological Collections</w:t>
            </w:r>
            <w:r>
              <w:rPr>
                <w:rFonts w:ascii="Times New Roman" w:hAnsi="Times New Roman" w:cs="Times New Roman"/>
                <w:b w:val="0"/>
                <w:bCs w:val="0"/>
                <w:sz w:val="18"/>
                <w:szCs w:val="18"/>
                <w:lang w:val="en-IN"/>
              </w:rPr>
              <w:t>.</w:t>
            </w:r>
            <w:r w:rsidR="00FE10CE" w:rsidRPr="00FE7EAF">
              <w:rPr>
                <w:rFonts w:ascii="Times New Roman" w:hAnsi="Times New Roman" w:cs="Times New Roman"/>
                <w:b w:val="0"/>
                <w:bCs w:val="0"/>
                <w:sz w:val="18"/>
                <w:szCs w:val="18"/>
              </w:rPr>
              <w:t xml:space="preserve"> </w:t>
            </w:r>
            <w:r w:rsidR="00FE10CE" w:rsidRPr="00FE7EAF">
              <w:rPr>
                <w:rFonts w:ascii="Times New Roman" w:hAnsi="Times New Roman" w:cs="Times New Roman"/>
                <w:b w:val="0"/>
                <w:bCs w:val="0"/>
                <w:i/>
                <w:iCs/>
                <w:sz w:val="18"/>
                <w:szCs w:val="18"/>
              </w:rPr>
              <w:t>Wisdom Vortex: International Journal of Social Science and Humanities, 01</w:t>
            </w:r>
            <w:r w:rsidR="00FE10CE" w:rsidRPr="00FE7EAF">
              <w:rPr>
                <w:rFonts w:ascii="Times New Roman" w:hAnsi="Times New Roman" w:cs="Times New Roman"/>
                <w:b w:val="0"/>
                <w:bCs w:val="0"/>
                <w:sz w:val="18"/>
                <w:szCs w:val="18"/>
              </w:rPr>
              <w:t>(</w:t>
            </w:r>
            <w:r w:rsidR="007336A5">
              <w:rPr>
                <w:rFonts w:ascii="Times New Roman" w:hAnsi="Times New Roman" w:cs="Times New Roman"/>
                <w:b w:val="0"/>
                <w:bCs w:val="0"/>
                <w:sz w:val="18"/>
                <w:szCs w:val="18"/>
              </w:rPr>
              <w:t>0</w:t>
            </w:r>
            <w:r w:rsidR="00191BE4">
              <w:rPr>
                <w:rFonts w:ascii="Times New Roman" w:hAnsi="Times New Roman" w:cs="Times New Roman"/>
                <w:b w:val="0"/>
                <w:bCs w:val="0"/>
                <w:sz w:val="18"/>
                <w:szCs w:val="18"/>
              </w:rPr>
              <w:t>4</w:t>
            </w:r>
            <w:r w:rsidR="00FE10CE" w:rsidRPr="00FE7EAF">
              <w:rPr>
                <w:rFonts w:ascii="Times New Roman" w:hAnsi="Times New Roman" w:cs="Times New Roman"/>
                <w:b w:val="0"/>
                <w:bCs w:val="0"/>
                <w:sz w:val="18"/>
                <w:szCs w:val="18"/>
              </w:rPr>
              <w:t xml:space="preserve">), </w:t>
            </w:r>
            <w:r w:rsidR="00047F52">
              <w:rPr>
                <w:rFonts w:ascii="Times New Roman" w:hAnsi="Times New Roman" w:cs="Times New Roman"/>
                <w:b w:val="0"/>
                <w:bCs w:val="0"/>
                <w:sz w:val="18"/>
                <w:szCs w:val="18"/>
              </w:rPr>
              <w:t>32</w:t>
            </w:r>
            <w:r w:rsidR="00C56936">
              <w:rPr>
                <w:rFonts w:ascii="Times New Roman" w:hAnsi="Times New Roman" w:cs="Times New Roman"/>
                <w:b w:val="0"/>
                <w:bCs w:val="0"/>
                <w:sz w:val="18"/>
                <w:szCs w:val="18"/>
              </w:rPr>
              <w:t>-</w:t>
            </w:r>
            <w:r w:rsidR="00047F52">
              <w:rPr>
                <w:rFonts w:ascii="Times New Roman" w:hAnsi="Times New Roman" w:cs="Times New Roman"/>
                <w:b w:val="0"/>
                <w:bCs w:val="0"/>
                <w:sz w:val="18"/>
                <w:szCs w:val="18"/>
              </w:rPr>
              <w:t>38</w:t>
            </w:r>
            <w:r w:rsidR="001C5F99">
              <w:rPr>
                <w:rFonts w:ascii="Times New Roman" w:hAnsi="Times New Roman" w:cs="Times New Roman"/>
                <w:b w:val="0"/>
                <w:bCs w:val="0"/>
                <w:sz w:val="18"/>
                <w:szCs w:val="18"/>
              </w:rPr>
              <w:t>.</w:t>
            </w:r>
          </w:p>
          <w:p w14:paraId="3E5EA4CE" w14:textId="1CFAD303" w:rsidR="00FE10CE" w:rsidRPr="00FE7EAF" w:rsidRDefault="00FE10CE" w:rsidP="008854B7">
            <w:pPr>
              <w:jc w:val="both"/>
              <w:rPr>
                <w:rFonts w:ascii="Times New Roman" w:hAnsi="Times New Roman" w:cs="Times New Roman"/>
                <w:sz w:val="18"/>
                <w:szCs w:val="18"/>
              </w:rPr>
            </w:pPr>
          </w:p>
          <w:p w14:paraId="7EEE34D6" w14:textId="77777777" w:rsidR="008854B7" w:rsidRPr="00FE7EAF" w:rsidRDefault="008854B7" w:rsidP="008854B7">
            <w:pPr>
              <w:jc w:val="both"/>
              <w:rPr>
                <w:rFonts w:ascii="Times New Roman" w:hAnsi="Times New Roman" w:cs="Times New Roman"/>
                <w:sz w:val="18"/>
                <w:szCs w:val="18"/>
              </w:rPr>
            </w:pPr>
          </w:p>
          <w:p w14:paraId="54CFB7D8" w14:textId="28FCE139" w:rsidR="008854B7" w:rsidRPr="00CD53B6" w:rsidRDefault="008854B7" w:rsidP="008854B7">
            <w:pPr>
              <w:jc w:val="both"/>
              <w:rPr>
                <w:rFonts w:ascii="Times New Roman" w:hAnsi="Times New Roman" w:cs="Times New Roman"/>
                <w:sz w:val="18"/>
                <w:szCs w:val="18"/>
              </w:rPr>
            </w:pPr>
            <w:r w:rsidRPr="00CD53B6">
              <w:rPr>
                <w:rFonts w:ascii="Times New Roman" w:hAnsi="Times New Roman" w:cs="Times New Roman"/>
                <w:b w:val="0"/>
                <w:bCs w:val="0"/>
                <w:sz w:val="18"/>
                <w:szCs w:val="18"/>
              </w:rPr>
              <w:t>Received:</w:t>
            </w:r>
            <w:r w:rsidR="003E5036" w:rsidRPr="00CD53B6">
              <w:rPr>
                <w:rFonts w:ascii="Times New Roman" w:hAnsi="Times New Roman" w:cs="Times New Roman"/>
                <w:b w:val="0"/>
                <w:bCs w:val="0"/>
                <w:sz w:val="18"/>
                <w:szCs w:val="18"/>
              </w:rPr>
              <w:t xml:space="preserve"> </w:t>
            </w:r>
            <w:r w:rsidR="006B20E9">
              <w:rPr>
                <w:rFonts w:ascii="Times New Roman" w:hAnsi="Times New Roman" w:cs="Times New Roman"/>
                <w:b w:val="0"/>
                <w:bCs w:val="0"/>
                <w:sz w:val="18"/>
                <w:szCs w:val="18"/>
              </w:rPr>
              <w:t>17 Nov. 2025</w:t>
            </w:r>
          </w:p>
          <w:p w14:paraId="06BCD847" w14:textId="1C9EFEE9" w:rsidR="008854B7" w:rsidRPr="00CD53B6" w:rsidRDefault="008854B7" w:rsidP="008854B7">
            <w:pPr>
              <w:jc w:val="both"/>
              <w:rPr>
                <w:rFonts w:ascii="Times New Roman" w:hAnsi="Times New Roman" w:cs="Times New Roman"/>
                <w:sz w:val="18"/>
                <w:szCs w:val="18"/>
              </w:rPr>
            </w:pPr>
            <w:r w:rsidRPr="00CD53B6">
              <w:rPr>
                <w:rFonts w:ascii="Times New Roman" w:hAnsi="Times New Roman" w:cs="Times New Roman"/>
                <w:b w:val="0"/>
                <w:bCs w:val="0"/>
                <w:sz w:val="18"/>
                <w:szCs w:val="18"/>
              </w:rPr>
              <w:t>Accepted:</w:t>
            </w:r>
            <w:r w:rsidR="003E5036" w:rsidRPr="00CD53B6">
              <w:rPr>
                <w:rFonts w:ascii="Times New Roman" w:hAnsi="Times New Roman" w:cs="Times New Roman"/>
                <w:b w:val="0"/>
                <w:bCs w:val="0"/>
                <w:sz w:val="18"/>
                <w:szCs w:val="18"/>
              </w:rPr>
              <w:t xml:space="preserve"> </w:t>
            </w:r>
            <w:r w:rsidR="006B20E9">
              <w:rPr>
                <w:rFonts w:ascii="Times New Roman" w:hAnsi="Times New Roman" w:cs="Times New Roman"/>
                <w:b w:val="0"/>
                <w:bCs w:val="0"/>
                <w:sz w:val="18"/>
                <w:szCs w:val="18"/>
              </w:rPr>
              <w:t>21 Dec. 2025</w:t>
            </w:r>
          </w:p>
          <w:p w14:paraId="3FD40F88" w14:textId="10BB90DB" w:rsidR="008854B7" w:rsidRPr="00CD53B6" w:rsidRDefault="008854B7" w:rsidP="008854B7">
            <w:pPr>
              <w:jc w:val="both"/>
              <w:rPr>
                <w:rFonts w:ascii="Times New Roman" w:hAnsi="Times New Roman" w:cs="Times New Roman"/>
                <w:sz w:val="18"/>
                <w:szCs w:val="18"/>
              </w:rPr>
            </w:pPr>
            <w:r w:rsidRPr="00CD53B6">
              <w:rPr>
                <w:rFonts w:ascii="Times New Roman" w:hAnsi="Times New Roman" w:cs="Times New Roman"/>
                <w:b w:val="0"/>
                <w:bCs w:val="0"/>
                <w:sz w:val="18"/>
                <w:szCs w:val="18"/>
              </w:rPr>
              <w:t>Published:</w:t>
            </w:r>
            <w:r w:rsidR="00CC4691">
              <w:rPr>
                <w:rFonts w:ascii="Times New Roman" w:hAnsi="Times New Roman" w:cs="Times New Roman"/>
                <w:b w:val="0"/>
                <w:bCs w:val="0"/>
                <w:sz w:val="18"/>
                <w:szCs w:val="18"/>
              </w:rPr>
              <w:t xml:space="preserve"> </w:t>
            </w:r>
            <w:r w:rsidR="006B20E9">
              <w:rPr>
                <w:rFonts w:ascii="Times New Roman" w:hAnsi="Times New Roman" w:cs="Times New Roman"/>
                <w:b w:val="0"/>
                <w:bCs w:val="0"/>
                <w:sz w:val="18"/>
                <w:szCs w:val="18"/>
              </w:rPr>
              <w:t>17 Jan. 2026</w:t>
            </w:r>
          </w:p>
          <w:p w14:paraId="432FB08A" w14:textId="05F3355A" w:rsidR="008854B7" w:rsidRDefault="008854B7" w:rsidP="008854B7">
            <w:pPr>
              <w:jc w:val="both"/>
              <w:rPr>
                <w:rFonts w:ascii="Times New Roman" w:hAnsi="Times New Roman" w:cs="Times New Roman"/>
              </w:rPr>
            </w:pPr>
          </w:p>
          <w:p w14:paraId="6630403F" w14:textId="66CBE463" w:rsidR="008854B7" w:rsidRPr="004D1FAA" w:rsidRDefault="008854B7" w:rsidP="008854B7">
            <w:pPr>
              <w:jc w:val="both"/>
              <w:rPr>
                <w:rFonts w:ascii="Times New Roman" w:hAnsi="Times New Roman" w:cs="Times New Roman"/>
                <w:sz w:val="16"/>
                <w:szCs w:val="16"/>
              </w:rPr>
            </w:pPr>
            <w:r w:rsidRPr="004D1FAA">
              <w:rPr>
                <w:rFonts w:ascii="Times New Roman" w:hAnsi="Times New Roman" w:cs="Times New Roman"/>
                <w:b w:val="0"/>
                <w:bCs w:val="0"/>
                <w:sz w:val="16"/>
                <w:szCs w:val="16"/>
              </w:rPr>
              <w:t xml:space="preserve">Copyright © 2025 by author(s) and Wisdom Vortex: International Journal of Social Science and Humanities. </w:t>
            </w:r>
          </w:p>
          <w:p w14:paraId="360418F6" w14:textId="7AE3F61B" w:rsidR="008854B7" w:rsidRPr="004D1FAA" w:rsidRDefault="008854B7" w:rsidP="008854B7">
            <w:pPr>
              <w:jc w:val="both"/>
              <w:rPr>
                <w:rFonts w:ascii="Times New Roman" w:hAnsi="Times New Roman" w:cs="Times New Roman"/>
                <w:sz w:val="16"/>
                <w:szCs w:val="16"/>
              </w:rPr>
            </w:pPr>
            <w:r w:rsidRPr="004D1FAA">
              <w:rPr>
                <w:rFonts w:ascii="Times New Roman" w:hAnsi="Times New Roman" w:cs="Times New Roman"/>
                <w:b w:val="0"/>
                <w:bCs w:val="0"/>
                <w:sz w:val="16"/>
                <w:szCs w:val="16"/>
              </w:rPr>
              <w:t>This work is licensed under the Creative Commons Attribution 4.0 International License (CC BY- 4.0).</w:t>
            </w:r>
          </w:p>
          <w:p w14:paraId="2C4E92A5" w14:textId="242516C6" w:rsidR="008854B7" w:rsidRPr="008854B7" w:rsidRDefault="008854B7" w:rsidP="008854B7">
            <w:pPr>
              <w:jc w:val="both"/>
              <w:rPr>
                <w:rFonts w:ascii="Times New Roman" w:hAnsi="Times New Roman" w:cs="Times New Roman"/>
                <w:b w:val="0"/>
                <w:bCs w:val="0"/>
                <w:sz w:val="20"/>
                <w:szCs w:val="20"/>
              </w:rPr>
            </w:pPr>
            <w:hyperlink r:id="rId9" w:history="1">
              <w:r w:rsidRPr="008854B7">
                <w:rPr>
                  <w:rStyle w:val="Hyperlink"/>
                  <w:rFonts w:ascii="Times New Roman" w:hAnsi="Times New Roman" w:cs="Times New Roman"/>
                  <w:b w:val="0"/>
                  <w:bCs w:val="0"/>
                  <w:sz w:val="20"/>
                  <w:szCs w:val="20"/>
                </w:rPr>
                <w:t>https://creativecommons.org/licenses/by/4.0/</w:t>
              </w:r>
            </w:hyperlink>
          </w:p>
          <w:p w14:paraId="1206287A" w14:textId="76A74482" w:rsidR="008854B7" w:rsidRPr="008854B7" w:rsidRDefault="00A71433" w:rsidP="008854B7">
            <w:pPr>
              <w:jc w:val="both"/>
              <w:rPr>
                <w:rFonts w:ascii="Times New Roman" w:hAnsi="Times New Roman" w:cs="Times New Roman"/>
                <w:b w:val="0"/>
                <w:bCs w:val="0"/>
              </w:rPr>
            </w:pPr>
            <w:r>
              <w:rPr>
                <w:rFonts w:ascii="Times New Roman" w:hAnsi="Times New Roman" w:cs="Times New Roman"/>
                <w:noProof/>
              </w:rPr>
              <w:drawing>
                <wp:anchor distT="0" distB="0" distL="114300" distR="114300" simplePos="0" relativeHeight="251659264" behindDoc="0" locked="0" layoutInCell="1" allowOverlap="1" wp14:anchorId="6FF3DFB6" wp14:editId="4CA2EC98">
                  <wp:simplePos x="0" y="0"/>
                  <wp:positionH relativeFrom="column">
                    <wp:posOffset>800720</wp:posOffset>
                  </wp:positionH>
                  <wp:positionV relativeFrom="paragraph">
                    <wp:posOffset>75728</wp:posOffset>
                  </wp:positionV>
                  <wp:extent cx="669895" cy="375219"/>
                  <wp:effectExtent l="0" t="0" r="0" b="6350"/>
                  <wp:wrapSquare wrapText="bothSides"/>
                  <wp:docPr id="19979425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42586" name="Picture 19979425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9895" cy="37521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rPr>
              <w:drawing>
                <wp:anchor distT="0" distB="0" distL="114300" distR="114300" simplePos="0" relativeHeight="251658240" behindDoc="1" locked="0" layoutInCell="1" allowOverlap="1" wp14:anchorId="1EB359B7" wp14:editId="09FC3294">
                  <wp:simplePos x="0" y="0"/>
                  <wp:positionH relativeFrom="column">
                    <wp:posOffset>16023</wp:posOffset>
                  </wp:positionH>
                  <wp:positionV relativeFrom="paragraph">
                    <wp:posOffset>92119</wp:posOffset>
                  </wp:positionV>
                  <wp:extent cx="637540" cy="222885"/>
                  <wp:effectExtent l="0" t="0" r="0" b="5715"/>
                  <wp:wrapTight wrapText="bothSides">
                    <wp:wrapPolygon edited="0">
                      <wp:start x="0" y="0"/>
                      <wp:lineTo x="0" y="20308"/>
                      <wp:lineTo x="20653" y="20308"/>
                      <wp:lineTo x="20653" y="0"/>
                      <wp:lineTo x="0" y="0"/>
                    </wp:wrapPolygon>
                  </wp:wrapTight>
                  <wp:docPr id="2810308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30819" name="Picture 2810308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7540" cy="222885"/>
                          </a:xfrm>
                          <a:prstGeom prst="rect">
                            <a:avLst/>
                          </a:prstGeom>
                        </pic:spPr>
                      </pic:pic>
                    </a:graphicData>
                  </a:graphic>
                  <wp14:sizeRelH relativeFrom="page">
                    <wp14:pctWidth>0</wp14:pctWidth>
                  </wp14:sizeRelH>
                  <wp14:sizeRelV relativeFrom="page">
                    <wp14:pctHeight>0</wp14:pctHeight>
                  </wp14:sizeRelV>
                </wp:anchor>
              </w:drawing>
            </w:r>
          </w:p>
        </w:tc>
      </w:tr>
    </w:tbl>
    <w:p w14:paraId="56818115" w14:textId="31ECA055" w:rsidR="00361E9C" w:rsidRPr="001558D2" w:rsidRDefault="00EB26A5" w:rsidP="00E93D5F">
      <w:pPr>
        <w:spacing w:after="100" w:line="276" w:lineRule="auto"/>
        <w:ind w:left="3969"/>
        <w:jc w:val="right"/>
        <w:rPr>
          <w:rFonts w:ascii="Times New Roman" w:hAnsi="Times New Roman" w:cs="Times New Roman"/>
          <w:b/>
          <w:bCs/>
          <w:sz w:val="33"/>
          <w:szCs w:val="33"/>
        </w:rPr>
      </w:pPr>
      <w:r w:rsidRPr="00EB26A5">
        <w:rPr>
          <w:rFonts w:ascii="Times New Roman" w:hAnsi="Times New Roman" w:cs="Times New Roman"/>
          <w:b/>
          <w:bCs/>
          <w:sz w:val="33"/>
          <w:szCs w:val="33"/>
        </w:rPr>
        <w:t>Museums, Repatriation, and the Politics of Belonging: Decolonizing Anthropological Collections</w:t>
      </w:r>
    </w:p>
    <w:p w14:paraId="40DBD88B" w14:textId="33C27ECB" w:rsidR="001558D2" w:rsidRDefault="0011429B" w:rsidP="001558D2">
      <w:pPr>
        <w:spacing w:after="0" w:line="276" w:lineRule="auto"/>
        <w:jc w:val="right"/>
        <w:rPr>
          <w:rFonts w:ascii="Times New Roman" w:hAnsi="Times New Roman" w:cs="Times New Roman"/>
          <w:b/>
          <w:bCs/>
          <w:sz w:val="24"/>
          <w:szCs w:val="24"/>
        </w:rPr>
      </w:pPr>
      <w:r>
        <w:rPr>
          <w:rFonts w:ascii="Times New Roman" w:hAnsi="Times New Roman" w:cs="Times New Roman"/>
          <w:b/>
          <w:bCs/>
          <w:sz w:val="24"/>
          <w:szCs w:val="24"/>
        </w:rPr>
        <w:t>Dr. Snigdha Prajapati</w:t>
      </w:r>
      <w:r w:rsidR="00BB2E8E" w:rsidRPr="00BB2E8E">
        <w:rPr>
          <w:rStyle w:val="FootnoteReference"/>
          <w:rFonts w:ascii="Times New Roman" w:hAnsi="Times New Roman" w:cs="Times New Roman"/>
          <w:b/>
          <w:bCs/>
          <w:sz w:val="24"/>
          <w:szCs w:val="24"/>
          <w:vertAlign w:val="baseline"/>
        </w:rPr>
        <w:t xml:space="preserve"> </w:t>
      </w:r>
      <w:r w:rsidR="002A0887">
        <w:rPr>
          <w:rStyle w:val="FootnoteReference"/>
          <w:rFonts w:ascii="Times New Roman" w:hAnsi="Times New Roman" w:cs="Times New Roman"/>
          <w:b/>
          <w:bCs/>
          <w:sz w:val="24"/>
          <w:szCs w:val="24"/>
        </w:rPr>
        <w:footnoteReference w:id="1"/>
      </w:r>
    </w:p>
    <w:p w14:paraId="7C106379" w14:textId="0A0A925C" w:rsidR="001C0934" w:rsidRPr="000E6290" w:rsidRDefault="00856AA5" w:rsidP="00E63EB8">
      <w:pPr>
        <w:spacing w:after="0" w:line="240" w:lineRule="auto"/>
        <w:jc w:val="both"/>
        <w:rPr>
          <w:rFonts w:ascii="Times New Roman" w:hAnsi="Times New Roman" w:cs="Times New Roman"/>
          <w:b/>
          <w:bCs/>
          <w:sz w:val="23"/>
          <w:szCs w:val="23"/>
        </w:rPr>
      </w:pPr>
      <w:r w:rsidRPr="000E6290">
        <w:rPr>
          <w:rFonts w:ascii="Times New Roman" w:hAnsi="Times New Roman" w:cs="Times New Roman"/>
          <w:b/>
          <w:bCs/>
          <w:sz w:val="23"/>
          <w:szCs w:val="23"/>
        </w:rPr>
        <w:t>ABSTRACT</w:t>
      </w:r>
    </w:p>
    <w:p w14:paraId="314C7CF5" w14:textId="69F3F1E8" w:rsidR="001C0934" w:rsidRPr="00E93D5F" w:rsidRDefault="00EB26A5" w:rsidP="00E63EB8">
      <w:pPr>
        <w:spacing w:after="0" w:line="240" w:lineRule="auto"/>
        <w:jc w:val="both"/>
        <w:rPr>
          <w:rFonts w:ascii="Times New Roman" w:hAnsi="Times New Roman" w:cs="Times New Roman"/>
        </w:rPr>
      </w:pPr>
      <w:r w:rsidRPr="00EB26A5">
        <w:rPr>
          <w:rFonts w:ascii="Times New Roman" w:hAnsi="Times New Roman" w:cs="Times New Roman"/>
          <w:i/>
          <w:iCs/>
        </w:rPr>
        <w:t>For over a century, museums in Europe and North America have housed vast collections of human remains, sacred objects, and cultural artifacts acquired during colonial expansion. Long celebrated as repositories of “universal knowledge,” these institutions are now at the center of urgent global debates about justice, memory, and belonging. This review examines the growing movement to decolonize anthropological collections through repatriation—the return of cultural heritage to Indigenous and formerly colonized communities. Drawing on key case studies, legal frameworks, and critical scholarship, the article explores the ethical imperatives, political tensions, and transformative possibilities inherent in this process. It argues that repatriation is not merely about returning objects, but about restoring relationships, acknowledging historical violence, and reimagining museums as sites of repair rather than possession.</w:t>
      </w:r>
    </w:p>
    <w:p w14:paraId="5412A376" w14:textId="497B740C" w:rsidR="001C0934" w:rsidRPr="00E93D5F" w:rsidRDefault="001C0934" w:rsidP="00E63EB8">
      <w:pPr>
        <w:spacing w:line="240" w:lineRule="auto"/>
        <w:jc w:val="both"/>
        <w:rPr>
          <w:rFonts w:ascii="Times New Roman" w:hAnsi="Times New Roman" w:cs="Times New Roman"/>
        </w:rPr>
      </w:pPr>
      <w:r w:rsidRPr="00E93D5F">
        <w:rPr>
          <w:rFonts w:ascii="Times New Roman" w:hAnsi="Times New Roman" w:cs="Times New Roman"/>
          <w:b/>
          <w:bCs/>
        </w:rPr>
        <w:t>Keywords</w:t>
      </w:r>
      <w:r w:rsidRPr="00E93D5F">
        <w:rPr>
          <w:rFonts w:ascii="Times New Roman" w:hAnsi="Times New Roman" w:cs="Times New Roman"/>
        </w:rPr>
        <w:t xml:space="preserve">: </w:t>
      </w:r>
      <w:r w:rsidR="00EB26A5" w:rsidRPr="00EB26A5">
        <w:rPr>
          <w:rFonts w:ascii="Times New Roman" w:hAnsi="Times New Roman" w:cs="Times New Roman"/>
          <w:i/>
          <w:iCs/>
        </w:rPr>
        <w:t>Decolonization, Repatriation, Indigenous Sovereignty, Museum Ethics, Cultural Heritage, Anthropological Collections</w:t>
      </w:r>
    </w:p>
    <w:p w14:paraId="28C99115" w14:textId="7A849BEA" w:rsidR="00DB2450" w:rsidRPr="00DB2450" w:rsidRDefault="00DB2450" w:rsidP="008B31A6">
      <w:pPr>
        <w:keepNext/>
        <w:framePr w:dropCap="drop" w:lines="4" w:h="946" w:hRule="exact" w:wrap="around" w:vAnchor="text" w:hAnchor="page" w:x="6016" w:y="65"/>
        <w:spacing w:after="0" w:line="946" w:lineRule="exact"/>
        <w:jc w:val="both"/>
        <w:textAlignment w:val="baseline"/>
        <w:rPr>
          <w:rFonts w:ascii="Times New Roman" w:hAnsi="Times New Roman" w:cs="Times New Roman"/>
          <w:position w:val="-14"/>
          <w:sz w:val="127"/>
          <w:szCs w:val="127"/>
        </w:rPr>
      </w:pPr>
      <w:r w:rsidRPr="00DB2450">
        <w:rPr>
          <w:rFonts w:ascii="Times New Roman" w:hAnsi="Times New Roman" w:cs="Times New Roman"/>
          <w:position w:val="-14"/>
          <w:sz w:val="127"/>
          <w:szCs w:val="127"/>
        </w:rPr>
        <w:t>M</w:t>
      </w:r>
    </w:p>
    <w:p w14:paraId="40117EAB" w14:textId="53FBB611"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 xml:space="preserve">useums have long functioned as both temples of culture and monuments to empire—spaces where knowledge, power, and possession converge (Bennett, 1995). From the British Museum in London to the Musée du Quai Branly in Paris, institutions across the Global North continue to display vast collections of artifacts acquired during centuries of colonial expansion, often through coercion, looting, or deeply unequal transactions (Prott, 2009; Sarr &amp; Savoy, 2018). Human remains—skulls, bones, and mummified bodies of Indigenous ancestors—were exhumed from sacred burial grounds; ceremonial masks, ancestral textiles, ritual regalia, and sacred bundles were seized during military raids, missionary interventions, or “scientific” expeditions that operated under the paternalistic logic of “salvage anthropology” (Clifford, 1988; Smith, 1999). Stripped of their cultural, spiritual, </w:t>
      </w:r>
      <w:r w:rsidRPr="00DB2450">
        <w:rPr>
          <w:rFonts w:ascii="Times New Roman" w:hAnsi="Times New Roman" w:cs="Times New Roman"/>
        </w:rPr>
        <w:lastRenderedPageBreak/>
        <w:t xml:space="preserve">and social contexts, these objects were reclassified as ethnographic specimens or aesthetic curiosities, arranged in glass cases that rendered living traditions static, exotic, and consumable for Western publics (Karp &amp; Lavine, 1991). </w:t>
      </w:r>
    </w:p>
    <w:p w14:paraId="7A353AA3"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Today, these collections are no longer silent witnesses to history; they have become active sites of political, ethical, and epistemological contestation. Indigenous nations—from the Māori of Aotearoa/New Zealand to the Hopi and Zuni of North America—as well as postcolonial states like Nigeria, Ghana, and India, alongside activist scholars and heritage practitioners, are demanding the return of what was taken not as a charitable gesture, but as an act of historical justice and ontological repair (Simpson, 2014; Colwell, 2017; Tuck &amp; Yang, 2012). This review explores the complex terrain of repatriation as a central pillar of decolonizing anthropology, focusing on three interrelated dimensions: (1) the ethics of possession and the moral weight of holding stolen heritage; (2) evolving legal frameworks and institutional responses—from resistance to reluctant reform; and (3) emerging visions for reimagining museums not as vaults of empire, but as spaces of relational accountability, co-curation, and shared futurity (Rassool, 2009; Kassim, 2021).</w:t>
      </w:r>
    </w:p>
    <w:p w14:paraId="67177B38" w14:textId="6EB81C6A" w:rsidR="00DB2450" w:rsidRPr="00DB2450" w:rsidRDefault="00DB2450" w:rsidP="00DB2450">
      <w:pPr>
        <w:spacing w:before="120" w:after="0" w:line="240" w:lineRule="auto"/>
        <w:jc w:val="both"/>
        <w:rPr>
          <w:rFonts w:ascii="Times New Roman" w:hAnsi="Times New Roman" w:cs="Times New Roman"/>
          <w:b/>
          <w:bCs/>
        </w:rPr>
      </w:pPr>
      <w:r w:rsidRPr="00DB2450">
        <w:rPr>
          <w:rFonts w:ascii="Times New Roman" w:hAnsi="Times New Roman" w:cs="Times New Roman"/>
          <w:b/>
          <w:bCs/>
        </w:rPr>
        <w:t>The Violence of Collection: Anthropology’s Complicity</w:t>
      </w:r>
    </w:p>
    <w:p w14:paraId="0ADF04DD"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Anthropology’s foundational entanglement with colonialism is not a matter of historical accident but structural complicity. During the 19th and early 20th centuries—the so-called “golden age” of ethnography—anthropologists frequently operated as de facto agents of empire, embedded within colonial networks that included missionaries, military officers, traders, and colonial administrators (Asad, 1973; Stocking, 1987). Their fieldwork often relied on access granted by colonial regimes, and their collections were facilitated by the very power imbalances that rendered Indigenous peoples vulnerable to dispossession. Human remains were routinely exhumed from burial sites without consent, sometimes under cover of night or during periods of community distress; sacred objects, including ceremonial masks, ritual bundles, and ancestral regalia, were seized during punitive raids, acquired through coercive “gift exchanges,” or purchased from individuals who lacked the cultural authority to relinquish them (Clifford, 1988; Colwell, 2017). Even figures celebrated for challenging scientific racism, such as Franz Boas, participated in extractive practices: while he rejected biological determinism, his students—including those working with the Kwakwaka’wakw of the Pacific Northwest—collected hundreds of ceremonial items during the potlatch ban (1884–1951), a period when Indigenous cultural expression was criminalized by the Canadian state, making genuine informed consent impossible (Cole &amp; Chaikin, 1990; Simpson, 2014).</w:t>
      </w:r>
    </w:p>
    <w:p w14:paraId="28CA4CE1"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As Linda Tuhiwai Smith (1999) powerfully asserts, “Research through Western eyes has been a weapon used against Indigenous peoples” (p. 1), underscoring how knowledge production itself became a tool of domination. The museum, far from being a neutral repository, functioned as the final archive of this epistemic violence—transforming dynamic, living traditions into static exhibits labeled as “primitive,” “vanishing,” or “exotic” (Bennett, 1995; Karp &amp; Lavine, 1991). This process did more than misrepresent cultures; it severed objects and ancestors from their relational contexts, severing threads of memory, identity, and spiritual continuity. The harm inflicted was not confined to the moment of collection. For many Indigenous communities today, the continued presence of ancestral bones or sacred items in foreign institutions constitutes an ongoing desecration—one that disrupts cosmological order, impedes ceremonial life, and obstructs intergenerational healing (Deloria, 1999; Tuck &amp; Yang, 2012). As Hopi leader Leigh Kuwanwisiwma has stated, “When our sacred objects are held in museums, our prayers are incomplete” (quoted in Colwell, 2017, p. 45). Thus, the violence of collection is not past tense; it persists in the institutional refusal to return what was never truly “owned” by the collector.</w:t>
      </w:r>
    </w:p>
    <w:p w14:paraId="73F42F39" w14:textId="2DDD3EF6" w:rsidR="00DB2450" w:rsidRPr="00DB2450" w:rsidRDefault="00DB2450" w:rsidP="00DB2450">
      <w:pPr>
        <w:spacing w:before="80" w:after="0" w:line="240" w:lineRule="auto"/>
        <w:jc w:val="both"/>
        <w:rPr>
          <w:rFonts w:ascii="Times New Roman" w:hAnsi="Times New Roman" w:cs="Times New Roman"/>
          <w:b/>
          <w:bCs/>
        </w:rPr>
      </w:pPr>
      <w:r w:rsidRPr="00DB2450">
        <w:rPr>
          <w:rFonts w:ascii="Times New Roman" w:hAnsi="Times New Roman" w:cs="Times New Roman"/>
          <w:b/>
          <w:bCs/>
        </w:rPr>
        <w:t>Repatriation as Restorative Justice</w:t>
      </w:r>
    </w:p>
    <w:p w14:paraId="79C49597" w14:textId="77777777" w:rsidR="00DB2450" w:rsidRPr="00DB2450" w:rsidRDefault="00DB2450" w:rsidP="00DB2450">
      <w:pPr>
        <w:spacing w:after="0" w:line="240" w:lineRule="auto"/>
        <w:jc w:val="both"/>
        <w:rPr>
          <w:rFonts w:ascii="Times New Roman" w:hAnsi="Times New Roman" w:cs="Times New Roman"/>
          <w:i/>
          <w:iCs/>
        </w:rPr>
      </w:pPr>
      <w:r w:rsidRPr="00DB2450">
        <w:rPr>
          <w:rFonts w:ascii="Times New Roman" w:hAnsi="Times New Roman" w:cs="Times New Roman"/>
          <w:i/>
          <w:iCs/>
        </w:rPr>
        <w:t>Human Remains: Repatriating Ancestors, Restoring Dignity</w:t>
      </w:r>
    </w:p>
    <w:p w14:paraId="05ABB3AD"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The repatriation of human remains stands as one of the most ethically urgent dimensions of decolonizing museum collections. For Indigenous communities worldwide, ancestral bones are not scientific specimens or historical curiosities—they are relatives, whose proper burial is essential to spiritual balance, cultural continuity, and intergenerational healing (Deloria, 1999; Colwell, 2017). Yet during the height of colonial expansion and racial science in the 19th and early 20th centuries, thousands of Indigenous bodies were exhumed from sacred burial grounds—often without community knowledge—and shipped to museums, universities, and private collections across Europe and North America. These acts were justified under the guise of “anthropological research” or “racial typology,” reinforcing dehumanizing narratives that positioned Indigenous peoples as vanishing or biologically inferior (Turnbull, 2002).</w:t>
      </w:r>
    </w:p>
    <w:p w14:paraId="2718A407"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lastRenderedPageBreak/>
        <w:t>In the United States, the Native American Graves Protection and Repatriation Act (NAGPRA), passed in 1990, marked a landmark legal acknowledgment of this historical injustice. NAGPRA requires all federally funded institutions to inventory Native American human remains and associated funerary objects, consult with culturally affiliated tribes, and facilitate their return upon request (National Park Service, n.d.). As of 2023, over 56,000 individuals and more than 1.5 million funerary items have been repatriated to over 200 federally recognized tribes (National NAGPRA Program, 2023). Despite these gains, the process remains fraught: many institutions delay compliance, dispute cultural affiliation claims, or resist returning remains when no direct descendants can be identified—reflecting a persistent prioritization of institutional control over Indigenous sovereignty (Fine-Dare, 2002).</w:t>
      </w:r>
    </w:p>
    <w:p w14:paraId="77597283"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Globally, similar struggles unfold. In Aotearoa/New Zealand, Māori iwi have led a decades-long campaign through the Karanga Aotearoa Repatriation Programme (based at Te Papa Tongarewa) to reclaim toi moko—preserved heads of ancestors tattooed with sacred moko—many of which were traded or stolen during the colonial era and ended up in European cabinets of curiosity (Tapsell, 2011). To date, over 500 toi moko have been returned from institutions in the UK, France, Germany, and the U.S. In Australia, Aboriginal and Torres Strait Islander communities continue to demand the return of thousands of ancestral remains still held in overseas museums, particularly in the UK and Germany, where repatriation often depends on goodwill rather than legal obligation (Pickering &amp; Turnbull, 2007). These efforts underscore a universal truth: the return of ancestors is not about archaeology—it is about justice, memory, and the right to mourn.</w:t>
      </w:r>
    </w:p>
    <w:p w14:paraId="3D8B00DA" w14:textId="77777777" w:rsidR="00DB2450" w:rsidRPr="00DB2450" w:rsidRDefault="00DB2450" w:rsidP="00DB2450">
      <w:pPr>
        <w:spacing w:before="80" w:after="0" w:line="240" w:lineRule="auto"/>
        <w:jc w:val="both"/>
        <w:rPr>
          <w:rFonts w:ascii="Times New Roman" w:hAnsi="Times New Roman" w:cs="Times New Roman"/>
          <w:b/>
          <w:bCs/>
        </w:rPr>
      </w:pPr>
      <w:r w:rsidRPr="00DB2450">
        <w:rPr>
          <w:rFonts w:ascii="Times New Roman" w:hAnsi="Times New Roman" w:cs="Times New Roman"/>
          <w:b/>
          <w:bCs/>
        </w:rPr>
        <w:t>Sacred and Cultural Objects: Beyond Art, Toward Kinship</w:t>
      </w:r>
    </w:p>
    <w:p w14:paraId="18AC8F61"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While the repatriation of human remains addresses bodily desecration, the return of sacred and ceremonial objects confronts the spiritual violence of cultural dispossession. For many Indigenous communities, such items are not “artifacts” or “art”—categories imposed by Western museology—but living beings, ancestral vessels, or active participants in cosmological order (Simpson, 2014; Colwell, 2017). Their removal disrupts ceremonial cycles, severs intergenerational knowledge transmission, and violates sacred protocols governing who may see, touch, or speak about them.</w:t>
      </w:r>
    </w:p>
    <w:p w14:paraId="2F052A19"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A powerful example comes from the Zuni Pueblo of New Mexico, whose people regard the Ahayu:da (War Gods) as divine twin brothers who protect the community. Carved from cottonwood root and placed on open-air shrines, they are meant to weather and return to the earth naturally. When anthropologists and collectors removed over 300 Ahayu:da in the late 19th and early 20th centuries—many ending up in major U.S. museums—the Zuni experienced this as a profound spiritual crisis. After sustained advocacy beginning in the 1970s, more than 100 Ahayu:da have been repatriated, often through formal ceremonies that reintegrate them into their sacred landscape (Ferguson et al., 1996). Similarly, the Hopi Nation considers Katsina dolls (tithu) not as decorative collectibles but as teaching tools used to instruct children about the Katsinam—spirit messengers who bring rain and blessings. Displaying them in museums, especially without context or permission, is seen as a violation of religious privacy and spiritual integrity (Colwell, 2017). The Hopi have successfully repatriated numerous tithu through NAGPRA and direct negotiations, emphasizing that these objects must be handled only by initiated community members.</w:t>
      </w:r>
    </w:p>
    <w:p w14:paraId="742CBAD9"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On a global scale, the campaign for the Benin Bronzes exemplifies how colonial looting continues to shape postcolonial identity. In 1897, British forces sacked the royal palace of Benin City (in present-day Nigeria), looting an estimated 10,000 brass plaques, ivory carvings, and coral regalia. These objects, now scattered across museums in London, Berlin, and New York, are central to Edo history, kingship, and ancestral veneration. Recent years have seen growing momentum for their return: Germany began large-scale repatriations in 2022, and the Smithsonian and several U.S. institutions have transferred ownership to Nigeria (though physical returns remain partial). As Nigerian scholar Peju Layiwola (2020) argues, the bronzes are not merely “cultural heritage”—they are embodiments of national soul.</w:t>
      </w:r>
    </w:p>
    <w:p w14:paraId="730918C1"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As anthropologist Chip Colwell (2017) succinctly captures: “Returning these objects is not about losing a museum piece—it’s about restoring a relative” (p. 12). This reframing—from object to kin—lies at the heart of decolonial repatriation: it demands that museums recognize that some things were never theirs to keep.</w:t>
      </w:r>
    </w:p>
    <w:p w14:paraId="3F07A31E" w14:textId="6C28574A" w:rsidR="00DB2450" w:rsidRPr="00DB2450" w:rsidRDefault="00DB2450" w:rsidP="00DB2450">
      <w:pPr>
        <w:spacing w:before="120" w:after="0" w:line="240" w:lineRule="auto"/>
        <w:jc w:val="both"/>
        <w:rPr>
          <w:rFonts w:ascii="Times New Roman" w:hAnsi="Times New Roman" w:cs="Times New Roman"/>
          <w:b/>
          <w:bCs/>
        </w:rPr>
      </w:pPr>
      <w:r w:rsidRPr="00DB2450">
        <w:rPr>
          <w:rFonts w:ascii="Times New Roman" w:hAnsi="Times New Roman" w:cs="Times New Roman"/>
          <w:b/>
          <w:bCs/>
        </w:rPr>
        <w:t>Institutional Resistance and Shifting Paradigms</w:t>
      </w:r>
    </w:p>
    <w:p w14:paraId="23098B3E"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Despite mounting ethical, legal, and public pressure, many museums—particularly in Europe and North America—have historically resisted repatriation. However, the past decade has witnessed a significant, if uneven, shift toward accountability. This transformation reflects both persistent advocacy from Indigenous and Global South communities and evolving institutional ethics.</w:t>
      </w:r>
    </w:p>
    <w:p w14:paraId="402F9F18" w14:textId="77777777" w:rsidR="00DB2450" w:rsidRPr="00DB2450" w:rsidRDefault="00DB2450" w:rsidP="00DB2450">
      <w:pPr>
        <w:spacing w:after="0" w:line="240" w:lineRule="auto"/>
        <w:jc w:val="both"/>
        <w:rPr>
          <w:rFonts w:ascii="Times New Roman" w:hAnsi="Times New Roman" w:cs="Times New Roman"/>
          <w:b/>
          <w:bCs/>
        </w:rPr>
      </w:pPr>
      <w:r w:rsidRPr="00DB2450">
        <w:rPr>
          <w:rFonts w:ascii="Times New Roman" w:hAnsi="Times New Roman" w:cs="Times New Roman"/>
          <w:b/>
          <w:bCs/>
        </w:rPr>
        <w:lastRenderedPageBreak/>
        <w:t>1. Persistent Forms of Institutional Resistance</w:t>
      </w:r>
    </w:p>
    <w:p w14:paraId="7DF71FD3"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Museums have employed several recurring justifications to delay or deny repatriation:</w:t>
      </w:r>
    </w:p>
    <w:p w14:paraId="0C8CE621" w14:textId="681F2054" w:rsidR="00DB2450" w:rsidRPr="00DB2450" w:rsidRDefault="00DB2450" w:rsidP="00DB2450">
      <w:pPr>
        <w:pStyle w:val="ListParagraph"/>
        <w:numPr>
          <w:ilvl w:val="0"/>
          <w:numId w:val="38"/>
        </w:numPr>
        <w:spacing w:after="0" w:line="240" w:lineRule="auto"/>
        <w:ind w:left="426"/>
        <w:jc w:val="both"/>
        <w:rPr>
          <w:rFonts w:ascii="Times New Roman" w:hAnsi="Times New Roman" w:cs="Times New Roman"/>
        </w:rPr>
      </w:pPr>
      <w:r w:rsidRPr="00E014E3">
        <w:rPr>
          <w:rFonts w:ascii="Times New Roman" w:hAnsi="Times New Roman" w:cs="Times New Roman"/>
          <w:i/>
          <w:iCs/>
        </w:rPr>
        <w:t>“Universal Heritage” Rhetoric</w:t>
      </w:r>
      <w:r w:rsidRPr="00DB2450">
        <w:rPr>
          <w:rFonts w:ascii="Times New Roman" w:hAnsi="Times New Roman" w:cs="Times New Roman"/>
        </w:rPr>
        <w:t>: Institutions like the British Museum invoke the idea that certain objects belong to “all humanity,” arguing that returning them would limit global access (Prott, 2009). Critics counter that this stance perpetuates colonial gatekeeping and ignores the right of source communities to control their own heritage (Sarr &amp; Savoy, 2018).</w:t>
      </w:r>
    </w:p>
    <w:p w14:paraId="146538DD" w14:textId="33D8632D" w:rsidR="00DB2450" w:rsidRPr="00DB2450" w:rsidRDefault="00DB2450" w:rsidP="00DB2450">
      <w:pPr>
        <w:pStyle w:val="ListParagraph"/>
        <w:numPr>
          <w:ilvl w:val="0"/>
          <w:numId w:val="38"/>
        </w:numPr>
        <w:spacing w:after="0" w:line="240" w:lineRule="auto"/>
        <w:ind w:left="426"/>
        <w:jc w:val="both"/>
        <w:rPr>
          <w:rFonts w:ascii="Times New Roman" w:hAnsi="Times New Roman" w:cs="Times New Roman"/>
        </w:rPr>
      </w:pPr>
      <w:r w:rsidRPr="00E014E3">
        <w:rPr>
          <w:rFonts w:ascii="Times New Roman" w:hAnsi="Times New Roman" w:cs="Times New Roman"/>
          <w:i/>
          <w:iCs/>
        </w:rPr>
        <w:t>Legal and Bureaucratic Obstacles</w:t>
      </w:r>
      <w:r w:rsidRPr="00DB2450">
        <w:rPr>
          <w:rFonts w:ascii="Times New Roman" w:hAnsi="Times New Roman" w:cs="Times New Roman"/>
        </w:rPr>
        <w:t>: Many museums claim they cannot return items due to national patrimony laws (e.g., the British Museum Act 1963) or ambiguous provenance records. These legal frameworks often prioritize institutional ownership over moral responsibility (Colwell, 2017).</w:t>
      </w:r>
    </w:p>
    <w:p w14:paraId="0A432498" w14:textId="0F618D2B" w:rsidR="00DB2450" w:rsidRPr="00DB2450" w:rsidRDefault="00DB2450" w:rsidP="00DB2450">
      <w:pPr>
        <w:pStyle w:val="ListParagraph"/>
        <w:numPr>
          <w:ilvl w:val="0"/>
          <w:numId w:val="38"/>
        </w:numPr>
        <w:spacing w:after="0" w:line="240" w:lineRule="auto"/>
        <w:ind w:left="426"/>
        <w:jc w:val="both"/>
        <w:rPr>
          <w:rFonts w:ascii="Times New Roman" w:hAnsi="Times New Roman" w:cs="Times New Roman"/>
        </w:rPr>
      </w:pPr>
      <w:r w:rsidRPr="00E014E3">
        <w:rPr>
          <w:rFonts w:ascii="Times New Roman" w:hAnsi="Times New Roman" w:cs="Times New Roman"/>
          <w:i/>
          <w:iCs/>
        </w:rPr>
        <w:t>Fear of “Empty Galleries”</w:t>
      </w:r>
      <w:r w:rsidRPr="00DB2450">
        <w:rPr>
          <w:rFonts w:ascii="Times New Roman" w:hAnsi="Times New Roman" w:cs="Times New Roman"/>
        </w:rPr>
        <w:t>: Curators and directors express concern that large-scale repatriation would deplete collections, reduce visitor numbers, or undermine institutional prestige—a reflection of museums’ lingering identity as repositories of “world culture” rather than sites of relational care (Kassim, 2021).</w:t>
      </w:r>
    </w:p>
    <w:p w14:paraId="4CDF986F" w14:textId="2C71599A" w:rsidR="00DB2450" w:rsidRPr="00DB2450" w:rsidRDefault="00DB2450" w:rsidP="00DB2450">
      <w:pPr>
        <w:pStyle w:val="ListParagraph"/>
        <w:numPr>
          <w:ilvl w:val="0"/>
          <w:numId w:val="38"/>
        </w:numPr>
        <w:spacing w:after="0" w:line="240" w:lineRule="auto"/>
        <w:ind w:left="426"/>
        <w:jc w:val="both"/>
        <w:rPr>
          <w:rFonts w:ascii="Times New Roman" w:hAnsi="Times New Roman" w:cs="Times New Roman"/>
        </w:rPr>
      </w:pPr>
      <w:r w:rsidRPr="00E014E3">
        <w:rPr>
          <w:rFonts w:ascii="Times New Roman" w:hAnsi="Times New Roman" w:cs="Times New Roman"/>
          <w:i/>
          <w:iCs/>
        </w:rPr>
        <w:t>Denial or Minimization of Colonial Violence</w:t>
      </w:r>
      <w:r w:rsidRPr="00DB2450">
        <w:rPr>
          <w:rFonts w:ascii="Times New Roman" w:hAnsi="Times New Roman" w:cs="Times New Roman"/>
        </w:rPr>
        <w:t>: Some institutions continue to frame acquisitions as “gifts” or “purchases,” ignoring the coercive contexts of colonial rule, warfare, or economic desperation under which many objects were obtained (Rassool, 2009).</w:t>
      </w:r>
    </w:p>
    <w:p w14:paraId="38E7C386" w14:textId="77777777" w:rsidR="00DB2450" w:rsidRPr="00DB2450" w:rsidRDefault="00DB2450" w:rsidP="00DB2450">
      <w:pPr>
        <w:spacing w:before="80" w:after="0" w:line="240" w:lineRule="auto"/>
        <w:jc w:val="both"/>
        <w:rPr>
          <w:rFonts w:ascii="Times New Roman" w:hAnsi="Times New Roman" w:cs="Times New Roman"/>
          <w:b/>
          <w:bCs/>
        </w:rPr>
      </w:pPr>
      <w:r w:rsidRPr="00DB2450">
        <w:rPr>
          <w:rFonts w:ascii="Times New Roman" w:hAnsi="Times New Roman" w:cs="Times New Roman"/>
          <w:b/>
          <w:bCs/>
        </w:rPr>
        <w:t>2. Accelerating Momentum for Change</w:t>
      </w:r>
    </w:p>
    <w:p w14:paraId="2E44C66B"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Since the 2010s, a wave of policy shifts and high-profile returns has signaled a turning point:</w:t>
      </w:r>
    </w:p>
    <w:p w14:paraId="1F7CCF70" w14:textId="4EB18FED" w:rsidR="00DB2450" w:rsidRPr="00DB2450" w:rsidRDefault="00DB2450" w:rsidP="00DB2450">
      <w:pPr>
        <w:pStyle w:val="ListParagraph"/>
        <w:numPr>
          <w:ilvl w:val="0"/>
          <w:numId w:val="37"/>
        </w:numPr>
        <w:spacing w:after="0" w:line="240" w:lineRule="auto"/>
        <w:ind w:left="426"/>
        <w:jc w:val="both"/>
        <w:rPr>
          <w:rFonts w:ascii="Times New Roman" w:hAnsi="Times New Roman" w:cs="Times New Roman"/>
        </w:rPr>
      </w:pPr>
      <w:r w:rsidRPr="00E014E3">
        <w:rPr>
          <w:rFonts w:ascii="Times New Roman" w:hAnsi="Times New Roman" w:cs="Times New Roman"/>
          <w:i/>
          <w:iCs/>
        </w:rPr>
        <w:t>Germany’s Benin Bronzes Agreement (2022)</w:t>
      </w:r>
      <w:r w:rsidRPr="00DB2450">
        <w:rPr>
          <w:rFonts w:ascii="Times New Roman" w:hAnsi="Times New Roman" w:cs="Times New Roman"/>
        </w:rPr>
        <w:t>: After years of negotiation, Germany signed formal agreements with Nigeria to return over 1,100 Benin Bronzes held in its federal and regional museums—the largest restitution effort to date (BBC, 2022).</w:t>
      </w:r>
    </w:p>
    <w:p w14:paraId="122EC9FE" w14:textId="3DF6B18B" w:rsidR="00DB2450" w:rsidRPr="00DB2450" w:rsidRDefault="00DB2450" w:rsidP="00DB2450">
      <w:pPr>
        <w:pStyle w:val="ListParagraph"/>
        <w:numPr>
          <w:ilvl w:val="0"/>
          <w:numId w:val="37"/>
        </w:numPr>
        <w:spacing w:after="0" w:line="240" w:lineRule="auto"/>
        <w:ind w:left="426"/>
        <w:jc w:val="both"/>
        <w:rPr>
          <w:rFonts w:ascii="Times New Roman" w:hAnsi="Times New Roman" w:cs="Times New Roman"/>
        </w:rPr>
      </w:pPr>
      <w:r w:rsidRPr="00E014E3">
        <w:rPr>
          <w:rFonts w:ascii="Times New Roman" w:hAnsi="Times New Roman" w:cs="Times New Roman"/>
          <w:i/>
          <w:iCs/>
        </w:rPr>
        <w:t>France’s Sarr-Savoy Report (2018)</w:t>
      </w:r>
      <w:r w:rsidRPr="00DB2450">
        <w:rPr>
          <w:rFonts w:ascii="Times New Roman" w:hAnsi="Times New Roman" w:cs="Times New Roman"/>
        </w:rPr>
        <w:t>: Commissioned by President Macron, this landmark report recommended the permanent restitution of African cultural heritage acquired through “military conquest, theft, or unequal exchange.” France has since returned artifacts to Senegal, Benin, and other nations, though critics note implementation remains slow and selective (Sarr &amp; Savoy, 2018).</w:t>
      </w:r>
    </w:p>
    <w:p w14:paraId="2807C1A2" w14:textId="4E708DEE" w:rsidR="00DB2450" w:rsidRPr="00DB2450" w:rsidRDefault="00DB2450" w:rsidP="00DB2450">
      <w:pPr>
        <w:pStyle w:val="ListParagraph"/>
        <w:numPr>
          <w:ilvl w:val="0"/>
          <w:numId w:val="37"/>
        </w:numPr>
        <w:spacing w:after="0" w:line="240" w:lineRule="auto"/>
        <w:ind w:left="426"/>
        <w:jc w:val="both"/>
        <w:rPr>
          <w:rFonts w:ascii="Times New Roman" w:hAnsi="Times New Roman" w:cs="Times New Roman"/>
        </w:rPr>
      </w:pPr>
      <w:r w:rsidRPr="00E014E3">
        <w:rPr>
          <w:rFonts w:ascii="Times New Roman" w:hAnsi="Times New Roman" w:cs="Times New Roman"/>
          <w:i/>
          <w:iCs/>
        </w:rPr>
        <w:t>U.S. Institutional Reforms</w:t>
      </w:r>
      <w:r w:rsidRPr="00DB2450">
        <w:rPr>
          <w:rFonts w:ascii="Times New Roman" w:hAnsi="Times New Roman" w:cs="Times New Roman"/>
        </w:rPr>
        <w:t>: The Smithsonian Institution revised its repatriation policy in 2023 to go beyond NAGPRA, allowing returns to non-federally recognized tribes and prioritizing community-defined cultural affiliation. Similarly, the American Museum of Natural History and others now engage in proactive provenance research and consultation (Smithsonian, 2023).</w:t>
      </w:r>
    </w:p>
    <w:p w14:paraId="4C9C2BB5" w14:textId="77777777" w:rsidR="00DB2450" w:rsidRPr="00DB2450" w:rsidRDefault="00DB2450" w:rsidP="00DB2450">
      <w:pPr>
        <w:spacing w:before="80" w:after="0" w:line="240" w:lineRule="auto"/>
        <w:jc w:val="both"/>
        <w:rPr>
          <w:rFonts w:ascii="Times New Roman" w:hAnsi="Times New Roman" w:cs="Times New Roman"/>
          <w:b/>
          <w:bCs/>
        </w:rPr>
      </w:pPr>
      <w:r w:rsidRPr="00DB2450">
        <w:rPr>
          <w:rFonts w:ascii="Times New Roman" w:hAnsi="Times New Roman" w:cs="Times New Roman"/>
          <w:b/>
          <w:bCs/>
        </w:rPr>
        <w:t>3. Beyond Repatriation: Co-Stewardship and Shared Authority</w:t>
      </w:r>
    </w:p>
    <w:p w14:paraId="1E45A003"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Recognizing that physical return is not always immediately possible—or desired by communities—some institutions are pioneering co-stewardship models:</w:t>
      </w:r>
    </w:p>
    <w:p w14:paraId="70186416" w14:textId="0A68BAD9" w:rsidR="00DB2450" w:rsidRPr="00E014E3" w:rsidRDefault="00DB2450" w:rsidP="00E014E3">
      <w:pPr>
        <w:pStyle w:val="ListParagraph"/>
        <w:numPr>
          <w:ilvl w:val="0"/>
          <w:numId w:val="39"/>
        </w:numPr>
        <w:spacing w:after="0" w:line="240" w:lineRule="auto"/>
        <w:ind w:left="426"/>
        <w:jc w:val="both"/>
        <w:rPr>
          <w:rFonts w:ascii="Times New Roman" w:hAnsi="Times New Roman" w:cs="Times New Roman"/>
        </w:rPr>
      </w:pPr>
      <w:r w:rsidRPr="00E014E3">
        <w:rPr>
          <w:rFonts w:ascii="Times New Roman" w:hAnsi="Times New Roman" w:cs="Times New Roman"/>
          <w:i/>
          <w:iCs/>
        </w:rPr>
        <w:t>Shared Decision-Making</w:t>
      </w:r>
      <w:r w:rsidRPr="00E014E3">
        <w:rPr>
          <w:rFonts w:ascii="Times New Roman" w:hAnsi="Times New Roman" w:cs="Times New Roman"/>
        </w:rPr>
        <w:t>: Source communities are invited to co-curate exhibitions, restrict access to sacred items, or determine how objects are stored and displayed (e.g., the Hood Museum’s collaboration with Abenaki leaders on Wabanaki basketry).</w:t>
      </w:r>
    </w:p>
    <w:p w14:paraId="72C48764" w14:textId="6ED4D804" w:rsidR="00DB2450" w:rsidRPr="00E014E3" w:rsidRDefault="00DB2450" w:rsidP="00E014E3">
      <w:pPr>
        <w:pStyle w:val="ListParagraph"/>
        <w:numPr>
          <w:ilvl w:val="0"/>
          <w:numId w:val="39"/>
        </w:numPr>
        <w:spacing w:after="0" w:line="240" w:lineRule="auto"/>
        <w:ind w:left="426"/>
        <w:jc w:val="both"/>
        <w:rPr>
          <w:rFonts w:ascii="Times New Roman" w:hAnsi="Times New Roman" w:cs="Times New Roman"/>
        </w:rPr>
      </w:pPr>
      <w:r w:rsidRPr="00E014E3">
        <w:rPr>
          <w:rFonts w:ascii="Times New Roman" w:hAnsi="Times New Roman" w:cs="Times New Roman"/>
          <w:i/>
          <w:iCs/>
        </w:rPr>
        <w:t>Digital Repatriation</w:t>
      </w:r>
      <w:r w:rsidRPr="00E014E3">
        <w:rPr>
          <w:rFonts w:ascii="Times New Roman" w:hAnsi="Times New Roman" w:cs="Times New Roman"/>
        </w:rPr>
        <w:t>: Platforms like Mukurtu CMS enable Indigenous communities to manage digital access to cultural materials according to their own cultural protocols—controlling who can view, share, or use sensitive knowledge (Christen, 2015).</w:t>
      </w:r>
    </w:p>
    <w:p w14:paraId="788AFAA4" w14:textId="767012B4" w:rsidR="00DB2450" w:rsidRPr="00E014E3" w:rsidRDefault="00DB2450" w:rsidP="00E014E3">
      <w:pPr>
        <w:pStyle w:val="ListParagraph"/>
        <w:numPr>
          <w:ilvl w:val="0"/>
          <w:numId w:val="39"/>
        </w:numPr>
        <w:spacing w:after="0" w:line="240" w:lineRule="auto"/>
        <w:ind w:left="426"/>
        <w:jc w:val="both"/>
        <w:rPr>
          <w:rFonts w:ascii="Times New Roman" w:hAnsi="Times New Roman" w:cs="Times New Roman"/>
        </w:rPr>
      </w:pPr>
      <w:r w:rsidRPr="00E014E3">
        <w:rPr>
          <w:rFonts w:ascii="Times New Roman" w:hAnsi="Times New Roman" w:cs="Times New Roman"/>
          <w:i/>
          <w:iCs/>
        </w:rPr>
        <w:t>Long-Term Loans with Sovereign Control</w:t>
      </w:r>
      <w:r w:rsidRPr="00E014E3">
        <w:rPr>
          <w:rFonts w:ascii="Times New Roman" w:hAnsi="Times New Roman" w:cs="Times New Roman"/>
        </w:rPr>
        <w:t>: In some cases, objects remain in museum storage but under the legal and spiritual authority of the originating community, with clear agreements about care, use, and eventual return (e.g., the Zuni Ahayu:da housed at the Denver Art Museum under Zuni oversight).</w:t>
      </w:r>
    </w:p>
    <w:p w14:paraId="06BE5467" w14:textId="448A69F8" w:rsidR="00DB2450" w:rsidRPr="00E014E3" w:rsidRDefault="00DB2450" w:rsidP="00E014E3">
      <w:pPr>
        <w:pStyle w:val="ListParagraph"/>
        <w:numPr>
          <w:ilvl w:val="0"/>
          <w:numId w:val="39"/>
        </w:numPr>
        <w:spacing w:after="0" w:line="240" w:lineRule="auto"/>
        <w:ind w:left="426"/>
        <w:jc w:val="both"/>
        <w:rPr>
          <w:rFonts w:ascii="Times New Roman" w:hAnsi="Times New Roman" w:cs="Times New Roman"/>
        </w:rPr>
      </w:pPr>
      <w:r w:rsidRPr="00E014E3">
        <w:rPr>
          <w:rFonts w:ascii="Times New Roman" w:hAnsi="Times New Roman" w:cs="Times New Roman"/>
          <w:i/>
          <w:iCs/>
        </w:rPr>
        <w:t>Decolonial Curation Practices</w:t>
      </w:r>
      <w:r w:rsidRPr="00E014E3">
        <w:rPr>
          <w:rFonts w:ascii="Times New Roman" w:hAnsi="Times New Roman" w:cs="Times New Roman"/>
        </w:rPr>
        <w:t>: Museums like the National Museum of the American Indian (NMAI) and Te Papa Tongarewa (New Zealand) center Indigenous voices in exhibition design, rejecting the “neutral” curator in favor of community narrators and knowledge holders.</w:t>
      </w:r>
    </w:p>
    <w:p w14:paraId="4EB89968" w14:textId="77777777" w:rsidR="00DB2450" w:rsidRPr="00E014E3" w:rsidRDefault="00DB2450" w:rsidP="00E014E3">
      <w:pPr>
        <w:spacing w:before="80" w:after="0" w:line="240" w:lineRule="auto"/>
        <w:jc w:val="both"/>
        <w:rPr>
          <w:rFonts w:ascii="Times New Roman" w:hAnsi="Times New Roman" w:cs="Times New Roman"/>
          <w:b/>
          <w:bCs/>
        </w:rPr>
      </w:pPr>
      <w:r w:rsidRPr="00E014E3">
        <w:rPr>
          <w:rFonts w:ascii="Times New Roman" w:hAnsi="Times New Roman" w:cs="Times New Roman"/>
          <w:b/>
          <w:bCs/>
        </w:rPr>
        <w:t>4. Remaining Challenges</w:t>
      </w:r>
    </w:p>
    <w:p w14:paraId="1AE20825"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Even amid progress, significant hurdles persist:</w:t>
      </w:r>
    </w:p>
    <w:p w14:paraId="6C5F335A" w14:textId="46A6846F" w:rsidR="00DB2450" w:rsidRPr="00E014E3" w:rsidRDefault="00DB2450" w:rsidP="00E014E3">
      <w:pPr>
        <w:pStyle w:val="ListParagraph"/>
        <w:numPr>
          <w:ilvl w:val="0"/>
          <w:numId w:val="40"/>
        </w:numPr>
        <w:spacing w:after="0" w:line="240" w:lineRule="auto"/>
        <w:ind w:left="426"/>
        <w:jc w:val="both"/>
        <w:rPr>
          <w:rFonts w:ascii="Times New Roman" w:hAnsi="Times New Roman" w:cs="Times New Roman"/>
        </w:rPr>
      </w:pPr>
      <w:r w:rsidRPr="00E014E3">
        <w:rPr>
          <w:rFonts w:ascii="Times New Roman" w:hAnsi="Times New Roman" w:cs="Times New Roman"/>
          <w:i/>
          <w:iCs/>
        </w:rPr>
        <w:t>Lack of Binding International Law</w:t>
      </w:r>
      <w:r w:rsidRPr="00E014E3">
        <w:rPr>
          <w:rFonts w:ascii="Times New Roman" w:hAnsi="Times New Roman" w:cs="Times New Roman"/>
        </w:rPr>
        <w:t xml:space="preserve">: Unlike the U.S., which has the Native American Graves Protection and Repatriation Act (NAGPRA, 1990)—a legally enforceable framework that mandates the return of human remains and cultural items to federally recognized tribes—most countries operate without any comparable legislation. International instruments like the UNESCO 1970 Convention or the UN Declaration on the Rights of Indigenous Peoples (UNDRIP, 2007) provide moral guidance but lack strong enforcement mechanisms. As a result, repatriation efforts in Europe, Asia, and Africa often rely entirely on political goodwill, diplomatic pressure, or institutional discretion, making the process slow, inconsistent, and vulnerable to shifts in </w:t>
      </w:r>
      <w:r w:rsidRPr="00E014E3">
        <w:rPr>
          <w:rFonts w:ascii="Times New Roman" w:hAnsi="Times New Roman" w:cs="Times New Roman"/>
        </w:rPr>
        <w:lastRenderedPageBreak/>
        <w:t>government policy. For example, while France has returned some artifacts following the Sarr-Savoy Report (2018), these actions remain discretionary, not rights-based, leaving many communities without legal recourse.</w:t>
      </w:r>
    </w:p>
    <w:p w14:paraId="1B420194" w14:textId="7D33806B" w:rsidR="00DB2450" w:rsidRPr="00E014E3" w:rsidRDefault="00DB2450" w:rsidP="00E014E3">
      <w:pPr>
        <w:pStyle w:val="ListParagraph"/>
        <w:numPr>
          <w:ilvl w:val="0"/>
          <w:numId w:val="40"/>
        </w:numPr>
        <w:spacing w:after="0" w:line="240" w:lineRule="auto"/>
        <w:ind w:left="426"/>
        <w:jc w:val="both"/>
        <w:rPr>
          <w:rFonts w:ascii="Times New Roman" w:hAnsi="Times New Roman" w:cs="Times New Roman"/>
        </w:rPr>
      </w:pPr>
      <w:r w:rsidRPr="00E014E3">
        <w:rPr>
          <w:rFonts w:ascii="Times New Roman" w:hAnsi="Times New Roman" w:cs="Times New Roman"/>
          <w:i/>
          <w:iCs/>
        </w:rPr>
        <w:t>Power Imbalances in Negotiations</w:t>
      </w:r>
      <w:r w:rsidRPr="00E014E3">
        <w:rPr>
          <w:rFonts w:ascii="Times New Roman" w:hAnsi="Times New Roman" w:cs="Times New Roman"/>
        </w:rPr>
        <w:t>: Indigenous and Global South communities frequently face significant structural disadvantages when seeking repatriation. They often lack access to legal expertise, archival records, travel funding, or institutional networks needed to navigate complex museum bureaucracies. In contrast, major museums—many backed by state funding or elite endowments—control the pace, scope, and conditions of negotiations. Provenance research is typically conducted by museum staff using internal archives, limiting community input. Moreover, institutions may demand exhaustive documentation of cultural affiliation—a standard rarely applied to their own acquisition records—placing an unfair burden of proof on claimants. This asymmetry reproduces colonial dynamics even within supposedly “collaborative” dialogues.</w:t>
      </w:r>
    </w:p>
    <w:p w14:paraId="4E43443C" w14:textId="3BD290DE" w:rsidR="00DB2450" w:rsidRPr="00E014E3" w:rsidRDefault="00DB2450" w:rsidP="00E014E3">
      <w:pPr>
        <w:pStyle w:val="ListParagraph"/>
        <w:numPr>
          <w:ilvl w:val="0"/>
          <w:numId w:val="40"/>
        </w:numPr>
        <w:spacing w:after="0" w:line="240" w:lineRule="auto"/>
        <w:ind w:left="426"/>
        <w:jc w:val="both"/>
        <w:rPr>
          <w:rFonts w:ascii="Times New Roman" w:hAnsi="Times New Roman" w:cs="Times New Roman"/>
        </w:rPr>
      </w:pPr>
      <w:r w:rsidRPr="00E014E3">
        <w:rPr>
          <w:rFonts w:ascii="Times New Roman" w:hAnsi="Times New Roman" w:cs="Times New Roman"/>
          <w:i/>
          <w:iCs/>
        </w:rPr>
        <w:t>Tokenism vs. Structural Change</w:t>
      </w:r>
      <w:r w:rsidRPr="00E014E3">
        <w:rPr>
          <w:rFonts w:ascii="Times New Roman" w:hAnsi="Times New Roman" w:cs="Times New Roman"/>
        </w:rPr>
        <w:t>: Some institutions engage in what scholar Sumaya Kassim (2021) calls “repatriation theater”—highly publicized returns of a few low-sensitivity objects (e.g., duplicate tools or non-sacred items) designed to project ethical progress while avoiding deeper transformation. These symbolic gestures may improve public image but leave intact the core structures of colonial ownership, curatorial authority, and exclusionary knowledge systems. For instance, a museum might return a single ceremonial mask while retaining hundreds of ancestral remains or sacred bundles. Without changes to governance, staffing, collection policies, or exhibition practices, such acts function as performative decolonization—offering the appearance of justice without redistributing power or accountability.</w:t>
      </w:r>
    </w:p>
    <w:p w14:paraId="059D97DA" w14:textId="180C6234" w:rsidR="00DB2450" w:rsidRPr="00E014E3" w:rsidRDefault="00DB2450" w:rsidP="00E014E3">
      <w:pPr>
        <w:spacing w:before="80" w:after="0" w:line="240" w:lineRule="auto"/>
        <w:jc w:val="both"/>
        <w:rPr>
          <w:rFonts w:ascii="Times New Roman" w:hAnsi="Times New Roman" w:cs="Times New Roman"/>
          <w:b/>
          <w:bCs/>
        </w:rPr>
      </w:pPr>
      <w:r w:rsidRPr="00E014E3">
        <w:rPr>
          <w:rFonts w:ascii="Times New Roman" w:hAnsi="Times New Roman" w:cs="Times New Roman"/>
          <w:b/>
          <w:bCs/>
        </w:rPr>
        <w:t>Beyond Return: Reimagining the Museum</w:t>
      </w:r>
    </w:p>
    <w:p w14:paraId="09D748CF"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True decolonization of anthropology and museology cannot be achieved through repatriation alone. As scholars such as Ciraj Rassool (2009) and Sumaya Kassim (2021) compellingly argue, it demands a radical reimagining of the museum’s very purpose, structure, and ethics. This requires institutions to move beyond defensive postures and symbolic gestures toward genuine accountability. First, museums must publicly acknowledge their foundational role in colonial violence—not as passive collectors, but as active participants in systems of extraction, racial classification, and cultural erasure. Second, they must center community voices not only in repatriation claims but in all aspects of curation, interpretation, and governance—shifting from “consultation” to shared or Indigenous-led authority. Third, museums should actively support Indigenous-led cultural revitalization, whether through funding language programs, facilitating access to ancestral knowledge, or providing space for ceremony and intergenerational teaching. At the heart of this transformation lies a fundamental question: “Who is the museum for?”—a challenge to the long-held assumption that museums serve a universal (and implicitly Western) public, rather than specific communities with sovereign rights to their heritage.</w:t>
      </w:r>
    </w:p>
    <w:p w14:paraId="2310F309"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In response, new institutional models are emerging that embody these principles. The Mukurtu CMS (Content Management System), co-developed by Warumungu elders and digital anthropologist Kim Christen, enables Indigenous communities to manage digital archives according to their own cultural protocols—restricting access to sacred songs, images, or stories based on gender, kinship, or initiation status (Christen, 2015). This platform exemplifies how technology can serve Indigenous data sovereignty rather than extractive archiving. Similarly, Wanuskewin Heritage Park near Saskatoon, Canada, stands as a powerful alternative to the colonial museum model. Co-created and operated by Northern Plains Indigenous nations—including the Cree, Dakota, Saulteaux, and Blackfoot—it functions not as a repository of “artifacts,” but as a living cultural landscape where archaeology, education, ceremony, and ecological restoration are guided by Indigenous knowledge systems (Wanuskewin, n.d.). Here, the past is not frozen behind glass; it is actively lived, taught, and renewed. Such spaces signal a future where museums are not temples of empire, but sites of healing, reciprocity, and self-determination.</w:t>
      </w:r>
    </w:p>
    <w:p w14:paraId="5C485ED5" w14:textId="09636B28" w:rsidR="00DB2450" w:rsidRPr="00E014E3" w:rsidRDefault="00DB2450" w:rsidP="00E014E3">
      <w:pPr>
        <w:spacing w:after="0" w:line="240" w:lineRule="auto"/>
        <w:ind w:right="2268"/>
        <w:jc w:val="both"/>
        <w:rPr>
          <w:rFonts w:ascii="Times New Roman" w:hAnsi="Times New Roman" w:cs="Times New Roman"/>
          <w:b/>
          <w:bCs/>
        </w:rPr>
      </w:pPr>
      <w:r w:rsidRPr="00E014E3">
        <w:rPr>
          <w:rFonts w:ascii="Times New Roman" w:hAnsi="Times New Roman" w:cs="Times New Roman"/>
          <w:b/>
          <w:bCs/>
        </w:rPr>
        <w:t>Conclusion: Repatriation as Relationship, Not Transaction</w:t>
      </w:r>
    </w:p>
    <w:p w14:paraId="5F6B04EB"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Repatriation is not an endpoint—it is a beginning. Far from being a one-time act of returning objects, it is the first step in rebuilding broken relationships between institutions, communities, and ancestors. It opens pathways for dialogue, healing, accountability, and the reassertion of Indigenous sovereignty over cultural heritage, knowledge systems, and spiritual life. To frame repatriation merely as a logistical or legal transaction is to miss its deeper purpose: it is an act of moral repair, a recognition that the theft of sacred bundles, ancestral bones, and ceremonial regalia was never just about material loss, but about the violent severing of cosmological, social, and intergenerational ties.</w:t>
      </w:r>
    </w:p>
    <w:p w14:paraId="27A888A9"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lastRenderedPageBreak/>
        <w:t>Decolonizing anthropological collections requires a fundamental shift in perception: objects are never neutral. A mask is not “art”; a skull is not “data”; a woven basket is not “craft.” These are embodiments of memory, kinship, and world-making—carriers of histories marked by colonial violence, but also by resilience, resistance, and enduring belonging. As Audra Simpson (2014) powerfully reminds us, Indigenous peoples do not seek mere inclusion within colonial institutions; they assert their own worlds, governed by their own laws, epistemologies, and relations to land and spirit. This challenges museums to move beyond token diversity or performative reconciliation and instead ask: What would it mean to cede authority? To listen without defensiveness? To return not only things, but power?</w:t>
      </w:r>
    </w:p>
    <w:p w14:paraId="078F7458" w14:textId="77777777" w:rsidR="00DB2450" w:rsidRPr="00DB2450"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Museums that wish to survive ethically in the 21st century must transform from fortresses of possession into spaces of humility, restitution, and shared futurity. This means embracing co-stewardship, supporting Indigenous-led cultural renewal, and accepting that some knowledge—and some objects—were never meant for public display. The era of gatekeeping is ending. The question is no longer “Should we return these items?”—a debate long settled by justice, ethics, and human rights—but rather: “How soon can we begin?” And more importantly: “How deeply are we willing to change?”</w:t>
      </w:r>
    </w:p>
    <w:p w14:paraId="144315D3" w14:textId="256F093F" w:rsidR="00E93D5F" w:rsidRPr="00E93D5F" w:rsidRDefault="00DB2450" w:rsidP="00DB2450">
      <w:pPr>
        <w:spacing w:after="0" w:line="240" w:lineRule="auto"/>
        <w:jc w:val="both"/>
        <w:rPr>
          <w:rFonts w:ascii="Times New Roman" w:hAnsi="Times New Roman" w:cs="Times New Roman"/>
        </w:rPr>
      </w:pPr>
      <w:r w:rsidRPr="00DB2450">
        <w:rPr>
          <w:rFonts w:ascii="Times New Roman" w:hAnsi="Times New Roman" w:cs="Times New Roman"/>
        </w:rPr>
        <w:t>In this light, repatriation becomes not a loss for museums, but a gift of possibility: the chance to build new kinds of relationships based on respect, reciprocity, and repair. The future of anthropology—and of the museum itself—depends on whether it chooses to remain a relic of empire, or become a partner in decolonial futures.</w:t>
      </w:r>
    </w:p>
    <w:p w14:paraId="4A33EF95" w14:textId="62CB843A" w:rsidR="00BB3CFA" w:rsidRPr="00BB3CFA" w:rsidRDefault="00BB3CFA" w:rsidP="00BB3CFA">
      <w:pPr>
        <w:spacing w:after="0" w:line="240" w:lineRule="auto"/>
        <w:jc w:val="both"/>
        <w:rPr>
          <w:rFonts w:ascii="Times New Roman" w:hAnsi="Times New Roman" w:cs="Times New Roman"/>
          <w:b/>
          <w:bCs/>
        </w:rPr>
      </w:pPr>
      <w:r w:rsidRPr="00BB3CFA">
        <w:rPr>
          <w:rFonts w:ascii="Times New Roman" w:hAnsi="Times New Roman" w:cs="Times New Roman"/>
          <w:b/>
          <w:bCs/>
        </w:rPr>
        <w:t>References</w:t>
      </w:r>
    </w:p>
    <w:p w14:paraId="56779720"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Asad, T. (Ed.). (1973). </w:t>
      </w:r>
      <w:r w:rsidRPr="00C408AA">
        <w:rPr>
          <w:rFonts w:ascii="Times New Roman" w:hAnsi="Times New Roman" w:cs="Times New Roman"/>
          <w:i/>
          <w:iCs/>
        </w:rPr>
        <w:t>Anthropology and the colonial encounter</w:t>
      </w:r>
      <w:r w:rsidRPr="00C408AA">
        <w:rPr>
          <w:rFonts w:ascii="Times New Roman" w:hAnsi="Times New Roman" w:cs="Times New Roman"/>
        </w:rPr>
        <w:t>. Ithaca Press.</w:t>
      </w:r>
    </w:p>
    <w:p w14:paraId="44ED9299"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BBC. (2022, July 1). </w:t>
      </w:r>
      <w:r w:rsidRPr="00C408AA">
        <w:rPr>
          <w:rFonts w:ascii="Times New Roman" w:hAnsi="Times New Roman" w:cs="Times New Roman"/>
          <w:i/>
          <w:iCs/>
        </w:rPr>
        <w:t>Germany returns Benin Bronzes to Nigeria in landmark restitution</w:t>
      </w:r>
      <w:r w:rsidRPr="00C408AA">
        <w:rPr>
          <w:rFonts w:ascii="Times New Roman" w:hAnsi="Times New Roman" w:cs="Times New Roman"/>
        </w:rPr>
        <w:t>. https://www.bbc.com/news/world-europe-62008512</w:t>
      </w:r>
    </w:p>
    <w:p w14:paraId="691DC79A"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Bennett, T. (1995). </w:t>
      </w:r>
      <w:r w:rsidRPr="00C408AA">
        <w:rPr>
          <w:rFonts w:ascii="Times New Roman" w:hAnsi="Times New Roman" w:cs="Times New Roman"/>
          <w:i/>
          <w:iCs/>
        </w:rPr>
        <w:t>The birth of the museum: History, theory, politics</w:t>
      </w:r>
      <w:r w:rsidRPr="00C408AA">
        <w:rPr>
          <w:rFonts w:ascii="Times New Roman" w:hAnsi="Times New Roman" w:cs="Times New Roman"/>
        </w:rPr>
        <w:t>. Routledge.</w:t>
      </w:r>
    </w:p>
    <w:p w14:paraId="367F5ED9"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Christen, K. (2015). Mukurtu: A framework for ethical digital repatriation. In M. Nakata &amp; M. Langton (Eds.), </w:t>
      </w:r>
      <w:r w:rsidRPr="00C408AA">
        <w:rPr>
          <w:rFonts w:ascii="Times New Roman" w:hAnsi="Times New Roman" w:cs="Times New Roman"/>
          <w:i/>
          <w:iCs/>
        </w:rPr>
        <w:t>Traditional knowledge in policy and practice: Approaches to development and human well-being</w:t>
      </w:r>
      <w:r w:rsidRPr="00C408AA">
        <w:rPr>
          <w:rFonts w:ascii="Times New Roman" w:hAnsi="Times New Roman" w:cs="Times New Roman"/>
        </w:rPr>
        <w:t xml:space="preserve"> (pp. 217–238). UNESCO.</w:t>
      </w:r>
    </w:p>
    <w:p w14:paraId="4F6686FE"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Clifford, J. (1988). </w:t>
      </w:r>
      <w:r w:rsidRPr="00C408AA">
        <w:rPr>
          <w:rFonts w:ascii="Times New Roman" w:hAnsi="Times New Roman" w:cs="Times New Roman"/>
          <w:i/>
          <w:iCs/>
        </w:rPr>
        <w:t>The predicament of culture: Twentieth-century ethnography, literature, and art</w:t>
      </w:r>
      <w:r w:rsidRPr="00C408AA">
        <w:rPr>
          <w:rFonts w:ascii="Times New Roman" w:hAnsi="Times New Roman" w:cs="Times New Roman"/>
        </w:rPr>
        <w:t>. Harvard University Press.</w:t>
      </w:r>
    </w:p>
    <w:p w14:paraId="2B55A826"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Cole, D., &amp; Chaikin, I. (1990). </w:t>
      </w:r>
      <w:r w:rsidRPr="00C408AA">
        <w:rPr>
          <w:rFonts w:ascii="Times New Roman" w:hAnsi="Times New Roman" w:cs="Times New Roman"/>
          <w:i/>
          <w:iCs/>
        </w:rPr>
        <w:t>An iron hand upon the people: The law against the potlatch on the Northwest Coast</w:t>
      </w:r>
      <w:r w:rsidRPr="00C408AA">
        <w:rPr>
          <w:rFonts w:ascii="Times New Roman" w:hAnsi="Times New Roman" w:cs="Times New Roman"/>
        </w:rPr>
        <w:t>. Douglas &amp; McIntyre.</w:t>
      </w:r>
    </w:p>
    <w:p w14:paraId="10208689"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Colwell, C. (2017). </w:t>
      </w:r>
      <w:r w:rsidRPr="00C408AA">
        <w:rPr>
          <w:rFonts w:ascii="Times New Roman" w:hAnsi="Times New Roman" w:cs="Times New Roman"/>
          <w:i/>
          <w:iCs/>
        </w:rPr>
        <w:t>Plundered skulls and stolen spirits: Inside the fight to reclaim Native America’s culture</w:t>
      </w:r>
      <w:r w:rsidRPr="00C408AA">
        <w:rPr>
          <w:rFonts w:ascii="Times New Roman" w:hAnsi="Times New Roman" w:cs="Times New Roman"/>
        </w:rPr>
        <w:t>. University of Chicago Press.</w:t>
      </w:r>
    </w:p>
    <w:p w14:paraId="4AD5E93F"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Deloria, V., Jr. (1999). </w:t>
      </w:r>
      <w:r w:rsidRPr="00C408AA">
        <w:rPr>
          <w:rFonts w:ascii="Times New Roman" w:hAnsi="Times New Roman" w:cs="Times New Roman"/>
          <w:i/>
          <w:iCs/>
        </w:rPr>
        <w:t>Spirit and reason: The Vine Deloria, Jr. reader</w:t>
      </w:r>
      <w:r w:rsidRPr="00C408AA">
        <w:rPr>
          <w:rFonts w:ascii="Times New Roman" w:hAnsi="Times New Roman" w:cs="Times New Roman"/>
        </w:rPr>
        <w:t>. Fulcrum Publishing.</w:t>
      </w:r>
    </w:p>
    <w:p w14:paraId="0B61E790"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Fine-Dare, K. S. (2002). </w:t>
      </w:r>
      <w:r w:rsidRPr="00C408AA">
        <w:rPr>
          <w:rFonts w:ascii="Times New Roman" w:hAnsi="Times New Roman" w:cs="Times New Roman"/>
          <w:i/>
          <w:iCs/>
        </w:rPr>
        <w:t>Grave injustice: The American Indian repatriation movement and NAGPRA</w:t>
      </w:r>
      <w:r w:rsidRPr="00C408AA">
        <w:rPr>
          <w:rFonts w:ascii="Times New Roman" w:hAnsi="Times New Roman" w:cs="Times New Roman"/>
        </w:rPr>
        <w:t>. University of Nebraska Press.</w:t>
      </w:r>
    </w:p>
    <w:p w14:paraId="45FD3257"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Ferguson, T. J., Anyon, R., &amp; Ladd, E. J. (1996). The repatriation of Ahayu:da: Lessons for the future. </w:t>
      </w:r>
      <w:r w:rsidRPr="00C408AA">
        <w:rPr>
          <w:rFonts w:ascii="Times New Roman" w:hAnsi="Times New Roman" w:cs="Times New Roman"/>
          <w:i/>
          <w:iCs/>
        </w:rPr>
        <w:t>Museum Anthropology, 20</w:t>
      </w:r>
      <w:r w:rsidRPr="00C408AA">
        <w:rPr>
          <w:rFonts w:ascii="Times New Roman" w:hAnsi="Times New Roman" w:cs="Times New Roman"/>
        </w:rPr>
        <w:t>(3), 3–11. https://doi.org/10.1525/mua.1996.20.3.3</w:t>
      </w:r>
    </w:p>
    <w:p w14:paraId="1D8101D5"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Hirschfelder, A., &amp; Molin, P. F. (2007). </w:t>
      </w:r>
      <w:r w:rsidRPr="00C408AA">
        <w:rPr>
          <w:rFonts w:ascii="Times New Roman" w:hAnsi="Times New Roman" w:cs="Times New Roman"/>
          <w:i/>
          <w:iCs/>
        </w:rPr>
        <w:t>Encyclopedia of Native American religions</w:t>
      </w:r>
      <w:r w:rsidRPr="00C408AA">
        <w:rPr>
          <w:rFonts w:ascii="Times New Roman" w:hAnsi="Times New Roman" w:cs="Times New Roman"/>
        </w:rPr>
        <w:t xml:space="preserve"> (3rd ed.). Facts On File.</w:t>
      </w:r>
    </w:p>
    <w:p w14:paraId="79301421"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Karp, I., &amp; Lavine, S. D. (Eds.). (1991). </w:t>
      </w:r>
      <w:r w:rsidRPr="00C408AA">
        <w:rPr>
          <w:rFonts w:ascii="Times New Roman" w:hAnsi="Times New Roman" w:cs="Times New Roman"/>
          <w:i/>
          <w:iCs/>
        </w:rPr>
        <w:t>Exhibiting cultures: The poetics and politics of museum display</w:t>
      </w:r>
      <w:r w:rsidRPr="00C408AA">
        <w:rPr>
          <w:rFonts w:ascii="Times New Roman" w:hAnsi="Times New Roman" w:cs="Times New Roman"/>
        </w:rPr>
        <w:t>. Smithsonian Institution Press.</w:t>
      </w:r>
    </w:p>
    <w:p w14:paraId="44812854"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Kassim, S. (2021, November 15). The museum will not be decolonised. </w:t>
      </w:r>
      <w:r w:rsidRPr="00C408AA">
        <w:rPr>
          <w:rFonts w:ascii="Times New Roman" w:hAnsi="Times New Roman" w:cs="Times New Roman"/>
          <w:i/>
          <w:iCs/>
        </w:rPr>
        <w:t>Media Diversified</w:t>
      </w:r>
      <w:r w:rsidRPr="00C408AA">
        <w:rPr>
          <w:rFonts w:ascii="Times New Roman" w:hAnsi="Times New Roman" w:cs="Times New Roman"/>
        </w:rPr>
        <w:t>. https://mediadiversified.org/2021/11/15/the-museum-will-not-be-decolonised/</w:t>
      </w:r>
    </w:p>
    <w:p w14:paraId="29F4FF8D"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Kukutai, T., &amp; Taylor, J. (Eds.). (2016). </w:t>
      </w:r>
      <w:r w:rsidRPr="00C408AA">
        <w:rPr>
          <w:rFonts w:ascii="Times New Roman" w:hAnsi="Times New Roman" w:cs="Times New Roman"/>
          <w:i/>
          <w:iCs/>
        </w:rPr>
        <w:t>Indigenous data sovereignty: Toward an agenda</w:t>
      </w:r>
      <w:r w:rsidRPr="00C408AA">
        <w:rPr>
          <w:rFonts w:ascii="Times New Roman" w:hAnsi="Times New Roman" w:cs="Times New Roman"/>
        </w:rPr>
        <w:t>. ANU Press. https://doi.org/10.22459/CAEPR38.11.2016</w:t>
      </w:r>
    </w:p>
    <w:p w14:paraId="36FC8051"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Layiwola, P. (2020). </w:t>
      </w:r>
      <w:r w:rsidRPr="00C408AA">
        <w:rPr>
          <w:rFonts w:ascii="Times New Roman" w:hAnsi="Times New Roman" w:cs="Times New Roman"/>
          <w:i/>
          <w:iCs/>
        </w:rPr>
        <w:t>Benin1897.com: Art and the restitution question</w:t>
      </w:r>
      <w:r w:rsidRPr="00C408AA">
        <w:rPr>
          <w:rFonts w:ascii="Times New Roman" w:hAnsi="Times New Roman" w:cs="Times New Roman"/>
        </w:rPr>
        <w:t>. Wy Art Editions.</w:t>
      </w:r>
    </w:p>
    <w:p w14:paraId="0FD370D4"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National NAGPRA Program. (2023). </w:t>
      </w:r>
      <w:r w:rsidRPr="00C408AA">
        <w:rPr>
          <w:rFonts w:ascii="Times New Roman" w:hAnsi="Times New Roman" w:cs="Times New Roman"/>
          <w:i/>
          <w:iCs/>
        </w:rPr>
        <w:t>2023 annual report to Congress</w:t>
      </w:r>
      <w:r w:rsidRPr="00C408AA">
        <w:rPr>
          <w:rFonts w:ascii="Times New Roman" w:hAnsi="Times New Roman" w:cs="Times New Roman"/>
        </w:rPr>
        <w:t>. U.S. Department of the Interior, National Park Service. https://www.nps.gov/nagpra</w:t>
      </w:r>
    </w:p>
    <w:p w14:paraId="3D9C40D8"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National Park Service. (n.d.). </w:t>
      </w:r>
      <w:r w:rsidRPr="00C408AA">
        <w:rPr>
          <w:rFonts w:ascii="Times New Roman" w:hAnsi="Times New Roman" w:cs="Times New Roman"/>
          <w:i/>
          <w:iCs/>
        </w:rPr>
        <w:t>Native American Graves Protection and Repatriation Act (NAGPRA)</w:t>
      </w:r>
      <w:r w:rsidRPr="00C408AA">
        <w:rPr>
          <w:rFonts w:ascii="Times New Roman" w:hAnsi="Times New Roman" w:cs="Times New Roman"/>
        </w:rPr>
        <w:t>. U.S. Department of the Interior. https://www.nps.gov/nagpra</w:t>
      </w:r>
    </w:p>
    <w:p w14:paraId="2E70716A"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Pickering, M., &amp; Turnbull, P. (2007). </w:t>
      </w:r>
      <w:r w:rsidRPr="00C408AA">
        <w:rPr>
          <w:rFonts w:ascii="Times New Roman" w:hAnsi="Times New Roman" w:cs="Times New Roman"/>
          <w:i/>
          <w:iCs/>
        </w:rPr>
        <w:t>Repatriation of Indigenous human remains: An international comparison</w:t>
      </w:r>
      <w:r w:rsidRPr="00C408AA">
        <w:rPr>
          <w:rFonts w:ascii="Times New Roman" w:hAnsi="Times New Roman" w:cs="Times New Roman"/>
        </w:rPr>
        <w:t>. Australian Institute of Aboriginal and Torres Strait Islander Studies.</w:t>
      </w:r>
    </w:p>
    <w:p w14:paraId="2ABBCC45"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Prott, L. V. (Ed.). (2009). </w:t>
      </w:r>
      <w:r w:rsidRPr="00C408AA">
        <w:rPr>
          <w:rFonts w:ascii="Times New Roman" w:hAnsi="Times New Roman" w:cs="Times New Roman"/>
          <w:i/>
          <w:iCs/>
        </w:rPr>
        <w:t>Witnesses to history: A compendium of documents and writings on the return of cultural objects</w:t>
      </w:r>
      <w:r w:rsidRPr="00C408AA">
        <w:rPr>
          <w:rFonts w:ascii="Times New Roman" w:hAnsi="Times New Roman" w:cs="Times New Roman"/>
        </w:rPr>
        <w:t>. UNESCO.</w:t>
      </w:r>
    </w:p>
    <w:p w14:paraId="019847F7"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Rassool, C. (2009). The politics of repatriation. </w:t>
      </w:r>
      <w:r w:rsidRPr="00C408AA">
        <w:rPr>
          <w:rFonts w:ascii="Times New Roman" w:hAnsi="Times New Roman" w:cs="Times New Roman"/>
          <w:i/>
          <w:iCs/>
        </w:rPr>
        <w:t>Museum International, 61</w:t>
      </w:r>
      <w:r w:rsidRPr="00C408AA">
        <w:rPr>
          <w:rFonts w:ascii="Times New Roman" w:hAnsi="Times New Roman" w:cs="Times New Roman"/>
        </w:rPr>
        <w:t>(1–2), 16–23. https://doi.org/10.1111/j.1468-0033.2009.01656.x</w:t>
      </w:r>
    </w:p>
    <w:p w14:paraId="4A0D7A7D"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lastRenderedPageBreak/>
        <w:t xml:space="preserve">Sarr, F., &amp; Savoy, B. (2018). </w:t>
      </w:r>
      <w:r w:rsidRPr="00C408AA">
        <w:rPr>
          <w:rFonts w:ascii="Times New Roman" w:hAnsi="Times New Roman" w:cs="Times New Roman"/>
          <w:i/>
          <w:iCs/>
        </w:rPr>
        <w:t>The restitution of African cultural heritage: Toward a new relational ethics</w:t>
      </w:r>
      <w:r w:rsidRPr="00C408AA">
        <w:rPr>
          <w:rFonts w:ascii="Times New Roman" w:hAnsi="Times New Roman" w:cs="Times New Roman"/>
        </w:rPr>
        <w:t>. Ministry of Europe and Foreign Affairs, France. https://restitutionreport2018.com/sarr_savoy_en.pdf</w:t>
      </w:r>
    </w:p>
    <w:p w14:paraId="0220EA40"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Simpson, A. (2014). </w:t>
      </w:r>
      <w:r w:rsidRPr="00C408AA">
        <w:rPr>
          <w:rFonts w:ascii="Times New Roman" w:hAnsi="Times New Roman" w:cs="Times New Roman"/>
          <w:i/>
          <w:iCs/>
        </w:rPr>
        <w:t>Mohawk interruptus: Political life across the borders of settler states</w:t>
      </w:r>
      <w:r w:rsidRPr="00C408AA">
        <w:rPr>
          <w:rFonts w:ascii="Times New Roman" w:hAnsi="Times New Roman" w:cs="Times New Roman"/>
        </w:rPr>
        <w:t>. Duke University Press.</w:t>
      </w:r>
    </w:p>
    <w:p w14:paraId="43C75A37"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Smith, L. T. (1999). </w:t>
      </w:r>
      <w:r w:rsidRPr="00C408AA">
        <w:rPr>
          <w:rFonts w:ascii="Times New Roman" w:hAnsi="Times New Roman" w:cs="Times New Roman"/>
          <w:i/>
          <w:iCs/>
        </w:rPr>
        <w:t>Decolonizing methodologies: Research and Indigenous peoples</w:t>
      </w:r>
      <w:r w:rsidRPr="00C408AA">
        <w:rPr>
          <w:rFonts w:ascii="Times New Roman" w:hAnsi="Times New Roman" w:cs="Times New Roman"/>
        </w:rPr>
        <w:t>. Zed Books.</w:t>
      </w:r>
    </w:p>
    <w:p w14:paraId="51DCB5F7"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Smithsonian Institution. (2023). </w:t>
      </w:r>
      <w:r w:rsidRPr="00C408AA">
        <w:rPr>
          <w:rFonts w:ascii="Times New Roman" w:hAnsi="Times New Roman" w:cs="Times New Roman"/>
          <w:i/>
          <w:iCs/>
        </w:rPr>
        <w:t>Policy on ethical returns of cultural heritage</w:t>
      </w:r>
      <w:r w:rsidRPr="00C408AA">
        <w:rPr>
          <w:rFonts w:ascii="Times New Roman" w:hAnsi="Times New Roman" w:cs="Times New Roman"/>
        </w:rPr>
        <w:t>. https://www.si.edu/newsdesk/factsheets/smithsonian-institution-policy-on-ethical-returns-of-cultural-heritage</w:t>
      </w:r>
    </w:p>
    <w:p w14:paraId="1B3DA83D"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Stocking, G. W., Jr. (1987). </w:t>
      </w:r>
      <w:r w:rsidRPr="00C408AA">
        <w:rPr>
          <w:rFonts w:ascii="Times New Roman" w:hAnsi="Times New Roman" w:cs="Times New Roman"/>
          <w:i/>
          <w:iCs/>
        </w:rPr>
        <w:t>Victorian anthropology</w:t>
      </w:r>
      <w:r w:rsidRPr="00C408AA">
        <w:rPr>
          <w:rFonts w:ascii="Times New Roman" w:hAnsi="Times New Roman" w:cs="Times New Roman"/>
        </w:rPr>
        <w:t>. Free Press.</w:t>
      </w:r>
    </w:p>
    <w:p w14:paraId="276BE808"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Tapsell, P. (2011). </w:t>
      </w:r>
      <w:r w:rsidRPr="00C408AA">
        <w:rPr>
          <w:rFonts w:ascii="Times New Roman" w:hAnsi="Times New Roman" w:cs="Times New Roman"/>
          <w:i/>
          <w:iCs/>
        </w:rPr>
        <w:t>Return of the toi moko: Karanga Aotearoa Repatriation Programme</w:t>
      </w:r>
      <w:r w:rsidRPr="00C408AA">
        <w:rPr>
          <w:rFonts w:ascii="Times New Roman" w:hAnsi="Times New Roman" w:cs="Times New Roman"/>
        </w:rPr>
        <w:t>. Te Papa Press.</w:t>
      </w:r>
    </w:p>
    <w:p w14:paraId="71B13366"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Tuck, E., &amp; Yang, K. W. (2012). Decolonization is not a metaphor. </w:t>
      </w:r>
      <w:r w:rsidRPr="00C408AA">
        <w:rPr>
          <w:rFonts w:ascii="Times New Roman" w:hAnsi="Times New Roman" w:cs="Times New Roman"/>
          <w:i/>
          <w:iCs/>
        </w:rPr>
        <w:t>Decolonization: Indigeneity, Education &amp; Society, 1</w:t>
      </w:r>
      <w:r w:rsidRPr="00C408AA">
        <w:rPr>
          <w:rFonts w:ascii="Times New Roman" w:hAnsi="Times New Roman" w:cs="Times New Roman"/>
        </w:rPr>
        <w:t>(1), 1–40.</w:t>
      </w:r>
    </w:p>
    <w:p w14:paraId="360DCE9C"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Turnbull, P. (2002). </w:t>
      </w:r>
      <w:r w:rsidRPr="00C408AA">
        <w:rPr>
          <w:rFonts w:ascii="Times New Roman" w:hAnsi="Times New Roman" w:cs="Times New Roman"/>
          <w:i/>
          <w:iCs/>
        </w:rPr>
        <w:t>Raven’s bones: The repatriation of Indigenous human remains in Australia</w:t>
      </w:r>
      <w:r w:rsidRPr="00C408AA">
        <w:rPr>
          <w:rFonts w:ascii="Times New Roman" w:hAnsi="Times New Roman" w:cs="Times New Roman"/>
        </w:rPr>
        <w:t>. Australian Academic Press.</w:t>
      </w:r>
    </w:p>
    <w:p w14:paraId="4ABC0891" w14:textId="77777777" w:rsidR="00E014E3" w:rsidRPr="00C408AA" w:rsidRDefault="00E014E3" w:rsidP="00E014E3">
      <w:pPr>
        <w:spacing w:after="0" w:line="240" w:lineRule="auto"/>
        <w:ind w:left="567" w:hanging="510"/>
        <w:jc w:val="both"/>
        <w:rPr>
          <w:rFonts w:ascii="Times New Roman" w:hAnsi="Times New Roman" w:cs="Times New Roman"/>
        </w:rPr>
      </w:pPr>
      <w:r w:rsidRPr="00C408AA">
        <w:rPr>
          <w:rFonts w:ascii="Times New Roman" w:hAnsi="Times New Roman" w:cs="Times New Roman"/>
        </w:rPr>
        <w:t xml:space="preserve">United Nations. (2007). </w:t>
      </w:r>
      <w:r w:rsidRPr="00C408AA">
        <w:rPr>
          <w:rFonts w:ascii="Times New Roman" w:hAnsi="Times New Roman" w:cs="Times New Roman"/>
          <w:i/>
          <w:iCs/>
        </w:rPr>
        <w:t>United Nations Declaration on the Rights of Indigenous Peoples (UNDRIP)</w:t>
      </w:r>
      <w:r w:rsidRPr="00C408AA">
        <w:rPr>
          <w:rFonts w:ascii="Times New Roman" w:hAnsi="Times New Roman" w:cs="Times New Roman"/>
        </w:rPr>
        <w:t>. https://www.un.org/development/desa/indigenouspeoples/declaration-on-the-rights-of-indigenous-peoples.html</w:t>
      </w:r>
    </w:p>
    <w:p w14:paraId="75EDDD96" w14:textId="2AA190F9" w:rsidR="00BB3CFA" w:rsidRPr="008F6A56" w:rsidRDefault="00E014E3" w:rsidP="00E014E3">
      <w:pPr>
        <w:spacing w:after="0" w:line="240" w:lineRule="auto"/>
        <w:ind w:left="567" w:hanging="510"/>
        <w:jc w:val="both"/>
        <w:rPr>
          <w:rFonts w:ascii="Times New Roman" w:hAnsi="Times New Roman" w:cs="Times New Roman"/>
          <w:sz w:val="20"/>
          <w:szCs w:val="20"/>
        </w:rPr>
      </w:pPr>
      <w:r w:rsidRPr="00C408AA">
        <w:rPr>
          <w:rFonts w:ascii="Times New Roman" w:hAnsi="Times New Roman" w:cs="Times New Roman"/>
        </w:rPr>
        <w:t xml:space="preserve">Wanuskewin Heritage Park. (n.d.). </w:t>
      </w:r>
      <w:r w:rsidRPr="00C408AA">
        <w:rPr>
          <w:rFonts w:ascii="Times New Roman" w:hAnsi="Times New Roman" w:cs="Times New Roman"/>
          <w:i/>
          <w:iCs/>
        </w:rPr>
        <w:t>About us</w:t>
      </w:r>
      <w:r w:rsidRPr="00C408AA">
        <w:rPr>
          <w:rFonts w:ascii="Times New Roman" w:hAnsi="Times New Roman" w:cs="Times New Roman"/>
        </w:rPr>
        <w:t>. https://wanuskewin.com</w:t>
      </w:r>
    </w:p>
    <w:sectPr w:rsidR="00BB3CFA" w:rsidRPr="008F6A56" w:rsidSect="00047F52">
      <w:headerReference w:type="default" r:id="rId12"/>
      <w:footerReference w:type="default" r:id="rId13"/>
      <w:footerReference w:type="first" r:id="rId14"/>
      <w:pgSz w:w="11906" w:h="16838" w:code="9"/>
      <w:pgMar w:top="709" w:right="1440" w:bottom="1440" w:left="1440" w:header="284" w:footer="720" w:gutter="0"/>
      <w:pgNumType w:start="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D870" w14:textId="77777777" w:rsidR="00D2107F" w:rsidRDefault="00D2107F" w:rsidP="008854B7">
      <w:pPr>
        <w:spacing w:after="0" w:line="240" w:lineRule="auto"/>
      </w:pPr>
      <w:r>
        <w:separator/>
      </w:r>
    </w:p>
  </w:endnote>
  <w:endnote w:type="continuationSeparator" w:id="0">
    <w:p w14:paraId="71159FFD" w14:textId="77777777" w:rsidR="00D2107F" w:rsidRDefault="00D2107F" w:rsidP="0088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335155"/>
      <w:docPartObj>
        <w:docPartGallery w:val="Page Numbers (Bottom of Page)"/>
        <w:docPartUnique/>
      </w:docPartObj>
    </w:sdtPr>
    <w:sdtEndPr>
      <w:rPr>
        <w:noProof/>
      </w:rPr>
    </w:sdtEndPr>
    <w:sdtContent>
      <w:p w14:paraId="30CA9A21" w14:textId="3A19FC1A" w:rsidR="001C3453" w:rsidRDefault="001C34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72C431" w14:textId="497186FF" w:rsidR="001C3453" w:rsidRPr="00C665DD" w:rsidRDefault="00C665DD" w:rsidP="009D1537">
    <w:pPr>
      <w:pStyle w:val="Footer"/>
      <w:jc w:val="center"/>
      <w:rPr>
        <w:sz w:val="16"/>
        <w:szCs w:val="16"/>
      </w:rPr>
    </w:pPr>
    <w:bookmarkStart w:id="2" w:name="_Hlk198299372"/>
    <w:bookmarkStart w:id="3" w:name="_Hlk198299570"/>
    <w:r w:rsidRPr="00C665DD">
      <w:rPr>
        <w:sz w:val="16"/>
        <w:szCs w:val="16"/>
      </w:rPr>
      <w:t>www.wvijsh.shodhmitra.com | Open Access | Peer Reviewed | Quarterly Journal</w:t>
    </w:r>
    <w:bookmarkEnd w:id="2"/>
    <w:r w:rsidRPr="00C665DD">
      <w:rPr>
        <w:sz w:val="16"/>
        <w:szCs w:val="16"/>
      </w:rPr>
      <w:t xml:space="preserve"> </w:t>
    </w:r>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EAA56" w14:textId="0E746A47" w:rsidR="001C3453" w:rsidRDefault="001C3453">
    <w:pPr>
      <w:pStyle w:val="Footer"/>
    </w:pPr>
    <w:r>
      <w:t>www.wvijsh.shodhmitra.com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CD314" w14:textId="77777777" w:rsidR="00D2107F" w:rsidRDefault="00D2107F" w:rsidP="008854B7">
      <w:pPr>
        <w:spacing w:after="0" w:line="240" w:lineRule="auto"/>
      </w:pPr>
      <w:r>
        <w:separator/>
      </w:r>
    </w:p>
  </w:footnote>
  <w:footnote w:type="continuationSeparator" w:id="0">
    <w:p w14:paraId="7BB12DB7" w14:textId="77777777" w:rsidR="00D2107F" w:rsidRDefault="00D2107F" w:rsidP="008854B7">
      <w:pPr>
        <w:spacing w:after="0" w:line="240" w:lineRule="auto"/>
      </w:pPr>
      <w:r>
        <w:continuationSeparator/>
      </w:r>
    </w:p>
  </w:footnote>
  <w:footnote w:id="1">
    <w:p w14:paraId="56F704AA" w14:textId="1EBB222A" w:rsidR="002A0887" w:rsidRDefault="002A0887" w:rsidP="00824278">
      <w:pPr>
        <w:pStyle w:val="FootnoteText"/>
      </w:pPr>
      <w:r>
        <w:rPr>
          <w:rStyle w:val="FootnoteReference"/>
        </w:rPr>
        <w:footnoteRef/>
      </w:r>
      <w:r>
        <w:t xml:space="preserve"> </w:t>
      </w:r>
      <w:r w:rsidR="0011429B">
        <w:t>Ph.D. in Anthropology</w:t>
      </w:r>
      <w:r w:rsidR="00E93D5F" w:rsidRPr="00E93D5F">
        <w:t xml:space="preserve">, Department of </w:t>
      </w:r>
      <w:r w:rsidR="0011429B">
        <w:t>Anthropology</w:t>
      </w:r>
      <w:r w:rsidR="00E93D5F" w:rsidRPr="00E93D5F">
        <w:t xml:space="preserve">, </w:t>
      </w:r>
      <w:r w:rsidR="0011429B">
        <w:t>North Gauhati College</w:t>
      </w:r>
      <w:r w:rsidR="00E93D5F" w:rsidRPr="00E93D5F">
        <w:t xml:space="preserve">, </w:t>
      </w:r>
      <w:r w:rsidR="0011429B">
        <w:t>Gawhati, Assam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A9B46" w14:textId="77777777" w:rsidR="006F711E" w:rsidRDefault="006F711E" w:rsidP="006F711E">
    <w:pPr>
      <w:pStyle w:val="Header"/>
      <w:jc w:val="center"/>
      <w:rPr>
        <w:sz w:val="18"/>
        <w:szCs w:val="18"/>
      </w:rPr>
    </w:pPr>
    <w:bookmarkStart w:id="0" w:name="_Hlk198299323"/>
    <w:bookmarkStart w:id="1" w:name="_Hlk198299360"/>
    <w:r w:rsidRPr="00C665DD">
      <w:rPr>
        <w:sz w:val="18"/>
        <w:szCs w:val="18"/>
      </w:rPr>
      <w:t xml:space="preserve">Wisdom Vortex: International Journal of Social Science and Humanities </w:t>
    </w:r>
  </w:p>
  <w:p w14:paraId="3333C01F" w14:textId="3120804E" w:rsidR="006F711E" w:rsidRDefault="006F711E" w:rsidP="006F711E">
    <w:pPr>
      <w:pStyle w:val="Header"/>
      <w:jc w:val="center"/>
      <w:rPr>
        <w:sz w:val="18"/>
        <w:szCs w:val="18"/>
      </w:rPr>
    </w:pPr>
    <w:r w:rsidRPr="00C665DD">
      <w:rPr>
        <w:sz w:val="18"/>
        <w:szCs w:val="18"/>
      </w:rPr>
      <w:t xml:space="preserve">Vol. 1, Issue </w:t>
    </w:r>
    <w:r w:rsidR="0028366C">
      <w:rPr>
        <w:sz w:val="18"/>
        <w:szCs w:val="18"/>
      </w:rPr>
      <w:t>4</w:t>
    </w:r>
    <w:r w:rsidRPr="00C665DD">
      <w:rPr>
        <w:sz w:val="18"/>
        <w:szCs w:val="18"/>
      </w:rPr>
      <w:t xml:space="preserve"> | </w:t>
    </w:r>
    <w:r w:rsidR="0028366C">
      <w:rPr>
        <w:sz w:val="18"/>
        <w:szCs w:val="18"/>
      </w:rPr>
      <w:t>Jan-Mar</w:t>
    </w:r>
    <w:r w:rsidRPr="00C665DD">
      <w:rPr>
        <w:sz w:val="18"/>
        <w:szCs w:val="18"/>
      </w:rPr>
      <w:t xml:space="preserve"> 202</w:t>
    </w:r>
    <w:r w:rsidR="0028366C">
      <w:rPr>
        <w:sz w:val="18"/>
        <w:szCs w:val="18"/>
      </w:rPr>
      <w:t>6</w:t>
    </w:r>
    <w:r w:rsidRPr="00C665DD">
      <w:rPr>
        <w:sz w:val="18"/>
        <w:szCs w:val="18"/>
      </w:rPr>
      <w:t xml:space="preserve"> | </w:t>
    </w:r>
    <w:r>
      <w:rPr>
        <w:sz w:val="18"/>
        <w:szCs w:val="18"/>
      </w:rPr>
      <w:t>e-</w:t>
    </w:r>
    <w:r w:rsidRPr="00C665DD">
      <w:rPr>
        <w:sz w:val="18"/>
        <w:szCs w:val="18"/>
      </w:rPr>
      <w:t xml:space="preserve">ISSN: </w:t>
    </w:r>
    <w:bookmarkEnd w:id="0"/>
    <w:r>
      <w:rPr>
        <w:sz w:val="18"/>
        <w:szCs w:val="18"/>
      </w:rPr>
      <w:t>3107-3808</w:t>
    </w:r>
  </w:p>
  <w:bookmarkEnd w:id="1"/>
  <w:p w14:paraId="3A9E22C7" w14:textId="77777777" w:rsidR="00C665DD" w:rsidRPr="00C665DD" w:rsidRDefault="00C665DD" w:rsidP="001C3453">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546"/>
    <w:multiLevelType w:val="hybridMultilevel"/>
    <w:tmpl w:val="9B7C88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6C663F"/>
    <w:multiLevelType w:val="multilevel"/>
    <w:tmpl w:val="5D5600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E31B9"/>
    <w:multiLevelType w:val="hybridMultilevel"/>
    <w:tmpl w:val="A9720CF2"/>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B8B0DD2"/>
    <w:multiLevelType w:val="hybridMultilevel"/>
    <w:tmpl w:val="A4780B0E"/>
    <w:lvl w:ilvl="0" w:tplc="4508C4F4">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20D3CA5"/>
    <w:multiLevelType w:val="hybridMultilevel"/>
    <w:tmpl w:val="95ECF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13DC08A8"/>
    <w:multiLevelType w:val="hybridMultilevel"/>
    <w:tmpl w:val="983A8F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5533993"/>
    <w:multiLevelType w:val="hybridMultilevel"/>
    <w:tmpl w:val="E08ABA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B41C0B"/>
    <w:multiLevelType w:val="hybridMultilevel"/>
    <w:tmpl w:val="2D6E62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29A1F63"/>
    <w:multiLevelType w:val="hybridMultilevel"/>
    <w:tmpl w:val="C666B6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3D60D91"/>
    <w:multiLevelType w:val="hybridMultilevel"/>
    <w:tmpl w:val="68EC9826"/>
    <w:lvl w:ilvl="0" w:tplc="4508C4F4">
      <w:numFmt w:val="bullet"/>
      <w:lvlText w:val="•"/>
      <w:lvlJc w:val="left"/>
      <w:pPr>
        <w:ind w:left="1080" w:hanging="72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54C00BB"/>
    <w:multiLevelType w:val="multilevel"/>
    <w:tmpl w:val="70F26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E074DC"/>
    <w:multiLevelType w:val="hybridMultilevel"/>
    <w:tmpl w:val="E6422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894714A"/>
    <w:multiLevelType w:val="hybridMultilevel"/>
    <w:tmpl w:val="C568ADC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A339AE"/>
    <w:multiLevelType w:val="hybridMultilevel"/>
    <w:tmpl w:val="0A3E6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912494B"/>
    <w:multiLevelType w:val="hybridMultilevel"/>
    <w:tmpl w:val="0686BF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29461331"/>
    <w:multiLevelType w:val="hybridMultilevel"/>
    <w:tmpl w:val="C0004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6F521E"/>
    <w:multiLevelType w:val="hybridMultilevel"/>
    <w:tmpl w:val="226CF5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DAB4373"/>
    <w:multiLevelType w:val="hybridMultilevel"/>
    <w:tmpl w:val="C5C0D9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F0A5AED"/>
    <w:multiLevelType w:val="hybridMultilevel"/>
    <w:tmpl w:val="002046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4D2256C"/>
    <w:multiLevelType w:val="hybridMultilevel"/>
    <w:tmpl w:val="D848C2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FC47A12"/>
    <w:multiLevelType w:val="hybridMultilevel"/>
    <w:tmpl w:val="A93604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1E3634C"/>
    <w:multiLevelType w:val="hybridMultilevel"/>
    <w:tmpl w:val="6D642BB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3153408"/>
    <w:multiLevelType w:val="hybridMultilevel"/>
    <w:tmpl w:val="B73AC8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736BC3"/>
    <w:multiLevelType w:val="hybridMultilevel"/>
    <w:tmpl w:val="CAA000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09D4C61"/>
    <w:multiLevelType w:val="hybridMultilevel"/>
    <w:tmpl w:val="EE3E5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87D04"/>
    <w:multiLevelType w:val="hybridMultilevel"/>
    <w:tmpl w:val="C3C615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52873D9A"/>
    <w:multiLevelType w:val="hybridMultilevel"/>
    <w:tmpl w:val="2304B9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D15EC"/>
    <w:multiLevelType w:val="hybridMultilevel"/>
    <w:tmpl w:val="77849B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47A1812"/>
    <w:multiLevelType w:val="hybridMultilevel"/>
    <w:tmpl w:val="41D62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76D20AF"/>
    <w:multiLevelType w:val="hybridMultilevel"/>
    <w:tmpl w:val="29CE18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F54433A"/>
    <w:multiLevelType w:val="hybridMultilevel"/>
    <w:tmpl w:val="B134CB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1C0324B"/>
    <w:multiLevelType w:val="hybridMultilevel"/>
    <w:tmpl w:val="4E52FA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2AB4C5B"/>
    <w:multiLevelType w:val="hybridMultilevel"/>
    <w:tmpl w:val="23A85E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72DD621E"/>
    <w:multiLevelType w:val="hybridMultilevel"/>
    <w:tmpl w:val="A5205F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3845D10"/>
    <w:multiLevelType w:val="hybridMultilevel"/>
    <w:tmpl w:val="FF064C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6B6669C"/>
    <w:multiLevelType w:val="hybridMultilevel"/>
    <w:tmpl w:val="800A7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3C10FA"/>
    <w:multiLevelType w:val="hybridMultilevel"/>
    <w:tmpl w:val="0D54C178"/>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975829"/>
    <w:multiLevelType w:val="hybridMultilevel"/>
    <w:tmpl w:val="5972D3B4"/>
    <w:lvl w:ilvl="0" w:tplc="74904C9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ABC4190"/>
    <w:multiLevelType w:val="multilevel"/>
    <w:tmpl w:val="FF42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B17174"/>
    <w:multiLevelType w:val="multilevel"/>
    <w:tmpl w:val="90F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465710">
    <w:abstractNumId w:val="39"/>
  </w:num>
  <w:num w:numId="2" w16cid:durableId="980234468">
    <w:abstractNumId w:val="10"/>
  </w:num>
  <w:num w:numId="3" w16cid:durableId="1323698764">
    <w:abstractNumId w:val="1"/>
  </w:num>
  <w:num w:numId="4" w16cid:durableId="429395557">
    <w:abstractNumId w:val="29"/>
  </w:num>
  <w:num w:numId="5" w16cid:durableId="1501849229">
    <w:abstractNumId w:val="35"/>
  </w:num>
  <w:num w:numId="6" w16cid:durableId="1291478696">
    <w:abstractNumId w:val="6"/>
  </w:num>
  <w:num w:numId="7" w16cid:durableId="1232500992">
    <w:abstractNumId w:val="24"/>
  </w:num>
  <w:num w:numId="8" w16cid:durableId="90125276">
    <w:abstractNumId w:val="19"/>
  </w:num>
  <w:num w:numId="9" w16cid:durableId="769393721">
    <w:abstractNumId w:val="7"/>
  </w:num>
  <w:num w:numId="10" w16cid:durableId="1964114796">
    <w:abstractNumId w:val="31"/>
  </w:num>
  <w:num w:numId="11" w16cid:durableId="1299534018">
    <w:abstractNumId w:val="33"/>
  </w:num>
  <w:num w:numId="12" w16cid:durableId="1819884031">
    <w:abstractNumId w:val="9"/>
  </w:num>
  <w:num w:numId="13" w16cid:durableId="725490896">
    <w:abstractNumId w:val="3"/>
  </w:num>
  <w:num w:numId="14" w16cid:durableId="89131234">
    <w:abstractNumId w:val="36"/>
  </w:num>
  <w:num w:numId="15" w16cid:durableId="46953575">
    <w:abstractNumId w:val="25"/>
  </w:num>
  <w:num w:numId="16" w16cid:durableId="501048698">
    <w:abstractNumId w:val="21"/>
  </w:num>
  <w:num w:numId="17" w16cid:durableId="1498381832">
    <w:abstractNumId w:val="37"/>
  </w:num>
  <w:num w:numId="18" w16cid:durableId="961884743">
    <w:abstractNumId w:val="26"/>
  </w:num>
  <w:num w:numId="19" w16cid:durableId="696153752">
    <w:abstractNumId w:val="2"/>
  </w:num>
  <w:num w:numId="20" w16cid:durableId="134375122">
    <w:abstractNumId w:val="38"/>
  </w:num>
  <w:num w:numId="21" w16cid:durableId="1554192973">
    <w:abstractNumId w:val="22"/>
  </w:num>
  <w:num w:numId="22" w16cid:durableId="119615935">
    <w:abstractNumId w:val="12"/>
  </w:num>
  <w:num w:numId="23" w16cid:durableId="1247301027">
    <w:abstractNumId w:val="16"/>
  </w:num>
  <w:num w:numId="24" w16cid:durableId="1928999532">
    <w:abstractNumId w:val="11"/>
  </w:num>
  <w:num w:numId="25" w16cid:durableId="621424687">
    <w:abstractNumId w:val="13"/>
  </w:num>
  <w:num w:numId="26" w16cid:durableId="1029524162">
    <w:abstractNumId w:val="18"/>
  </w:num>
  <w:num w:numId="27" w16cid:durableId="1246375193">
    <w:abstractNumId w:val="27"/>
  </w:num>
  <w:num w:numId="28" w16cid:durableId="1689911897">
    <w:abstractNumId w:val="23"/>
  </w:num>
  <w:num w:numId="29" w16cid:durableId="1387072789">
    <w:abstractNumId w:val="4"/>
  </w:num>
  <w:num w:numId="30" w16cid:durableId="602687796">
    <w:abstractNumId w:val="0"/>
  </w:num>
  <w:num w:numId="31" w16cid:durableId="1516264007">
    <w:abstractNumId w:val="14"/>
  </w:num>
  <w:num w:numId="32" w16cid:durableId="476723291">
    <w:abstractNumId w:val="17"/>
  </w:num>
  <w:num w:numId="33" w16cid:durableId="1224638120">
    <w:abstractNumId w:val="20"/>
  </w:num>
  <w:num w:numId="34" w16cid:durableId="803232487">
    <w:abstractNumId w:val="8"/>
  </w:num>
  <w:num w:numId="35" w16cid:durableId="2045254923">
    <w:abstractNumId w:val="30"/>
  </w:num>
  <w:num w:numId="36" w16cid:durableId="460268348">
    <w:abstractNumId w:val="32"/>
  </w:num>
  <w:num w:numId="37" w16cid:durableId="1659965745">
    <w:abstractNumId w:val="15"/>
  </w:num>
  <w:num w:numId="38" w16cid:durableId="1819414111">
    <w:abstractNumId w:val="34"/>
  </w:num>
  <w:num w:numId="39" w16cid:durableId="903419236">
    <w:abstractNumId w:val="28"/>
  </w:num>
  <w:num w:numId="40" w16cid:durableId="18374553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3E"/>
    <w:rsid w:val="00001A52"/>
    <w:rsid w:val="000068BF"/>
    <w:rsid w:val="00010360"/>
    <w:rsid w:val="00011AEE"/>
    <w:rsid w:val="00011B09"/>
    <w:rsid w:val="00011EBA"/>
    <w:rsid w:val="00013FAC"/>
    <w:rsid w:val="0002405E"/>
    <w:rsid w:val="00032662"/>
    <w:rsid w:val="00032C70"/>
    <w:rsid w:val="00045E7B"/>
    <w:rsid w:val="00046A30"/>
    <w:rsid w:val="00047F52"/>
    <w:rsid w:val="00067E36"/>
    <w:rsid w:val="000938EE"/>
    <w:rsid w:val="000A7805"/>
    <w:rsid w:val="000D0754"/>
    <w:rsid w:val="000E09ED"/>
    <w:rsid w:val="000E6290"/>
    <w:rsid w:val="000E64A4"/>
    <w:rsid w:val="000F1D97"/>
    <w:rsid w:val="000F3E8C"/>
    <w:rsid w:val="00102219"/>
    <w:rsid w:val="001073C8"/>
    <w:rsid w:val="0011429B"/>
    <w:rsid w:val="00120413"/>
    <w:rsid w:val="00125C35"/>
    <w:rsid w:val="001271AE"/>
    <w:rsid w:val="001351C6"/>
    <w:rsid w:val="001558D2"/>
    <w:rsid w:val="001559BA"/>
    <w:rsid w:val="001601C9"/>
    <w:rsid w:val="001604E9"/>
    <w:rsid w:val="00163E95"/>
    <w:rsid w:val="00186EBC"/>
    <w:rsid w:val="00191BE4"/>
    <w:rsid w:val="001934A1"/>
    <w:rsid w:val="0019501A"/>
    <w:rsid w:val="001B36ED"/>
    <w:rsid w:val="001C0934"/>
    <w:rsid w:val="001C26DD"/>
    <w:rsid w:val="001C3453"/>
    <w:rsid w:val="001C5F99"/>
    <w:rsid w:val="001D4E61"/>
    <w:rsid w:val="001E0D1D"/>
    <w:rsid w:val="001E1BE1"/>
    <w:rsid w:val="001E422F"/>
    <w:rsid w:val="001F191A"/>
    <w:rsid w:val="00201E64"/>
    <w:rsid w:val="002122E7"/>
    <w:rsid w:val="0022071A"/>
    <w:rsid w:val="00255052"/>
    <w:rsid w:val="0028366C"/>
    <w:rsid w:val="00290ED8"/>
    <w:rsid w:val="002A0887"/>
    <w:rsid w:val="002B0B20"/>
    <w:rsid w:val="002B6DE4"/>
    <w:rsid w:val="002C3D89"/>
    <w:rsid w:val="002D205A"/>
    <w:rsid w:val="002F74F1"/>
    <w:rsid w:val="00305E66"/>
    <w:rsid w:val="003109AD"/>
    <w:rsid w:val="00315683"/>
    <w:rsid w:val="00330526"/>
    <w:rsid w:val="00335081"/>
    <w:rsid w:val="00346027"/>
    <w:rsid w:val="003534C0"/>
    <w:rsid w:val="00361E9C"/>
    <w:rsid w:val="003646BD"/>
    <w:rsid w:val="0037595B"/>
    <w:rsid w:val="00382105"/>
    <w:rsid w:val="0038750C"/>
    <w:rsid w:val="003C077F"/>
    <w:rsid w:val="003C212E"/>
    <w:rsid w:val="003C68D0"/>
    <w:rsid w:val="003D0C37"/>
    <w:rsid w:val="003D2C36"/>
    <w:rsid w:val="003E5036"/>
    <w:rsid w:val="0040071A"/>
    <w:rsid w:val="004017D7"/>
    <w:rsid w:val="00402B23"/>
    <w:rsid w:val="00422EDD"/>
    <w:rsid w:val="0042540E"/>
    <w:rsid w:val="00434117"/>
    <w:rsid w:val="00437A69"/>
    <w:rsid w:val="00443F45"/>
    <w:rsid w:val="0046308A"/>
    <w:rsid w:val="00471412"/>
    <w:rsid w:val="004B10E2"/>
    <w:rsid w:val="004D1E47"/>
    <w:rsid w:val="004D1FAA"/>
    <w:rsid w:val="004D2220"/>
    <w:rsid w:val="004D5CAD"/>
    <w:rsid w:val="0050723B"/>
    <w:rsid w:val="00520D33"/>
    <w:rsid w:val="0052387F"/>
    <w:rsid w:val="00524CC6"/>
    <w:rsid w:val="00534306"/>
    <w:rsid w:val="005572CA"/>
    <w:rsid w:val="00564FDC"/>
    <w:rsid w:val="0057645F"/>
    <w:rsid w:val="00576D7F"/>
    <w:rsid w:val="005B36F8"/>
    <w:rsid w:val="005B6CF3"/>
    <w:rsid w:val="005C723E"/>
    <w:rsid w:val="005E4BC4"/>
    <w:rsid w:val="00600CAE"/>
    <w:rsid w:val="00614EA2"/>
    <w:rsid w:val="006235FB"/>
    <w:rsid w:val="00624F94"/>
    <w:rsid w:val="00625268"/>
    <w:rsid w:val="006332B2"/>
    <w:rsid w:val="00644832"/>
    <w:rsid w:val="00656562"/>
    <w:rsid w:val="00660C79"/>
    <w:rsid w:val="00666773"/>
    <w:rsid w:val="006755D3"/>
    <w:rsid w:val="006808FB"/>
    <w:rsid w:val="006A43BE"/>
    <w:rsid w:val="006A6310"/>
    <w:rsid w:val="006A6E98"/>
    <w:rsid w:val="006B20E9"/>
    <w:rsid w:val="006D0AC6"/>
    <w:rsid w:val="006E749F"/>
    <w:rsid w:val="006F711E"/>
    <w:rsid w:val="00700D2A"/>
    <w:rsid w:val="00706FEC"/>
    <w:rsid w:val="00710ECF"/>
    <w:rsid w:val="007336A5"/>
    <w:rsid w:val="0074459F"/>
    <w:rsid w:val="0077437F"/>
    <w:rsid w:val="007E1ED5"/>
    <w:rsid w:val="007F25E8"/>
    <w:rsid w:val="007F4BA7"/>
    <w:rsid w:val="007F5F6A"/>
    <w:rsid w:val="00803860"/>
    <w:rsid w:val="00807872"/>
    <w:rsid w:val="00807FB4"/>
    <w:rsid w:val="00814D75"/>
    <w:rsid w:val="008212C6"/>
    <w:rsid w:val="0082191F"/>
    <w:rsid w:val="00824278"/>
    <w:rsid w:val="00856AA5"/>
    <w:rsid w:val="00856B93"/>
    <w:rsid w:val="008618FC"/>
    <w:rsid w:val="00874695"/>
    <w:rsid w:val="008854B7"/>
    <w:rsid w:val="00895BB0"/>
    <w:rsid w:val="008B2310"/>
    <w:rsid w:val="008B31A6"/>
    <w:rsid w:val="008F6A56"/>
    <w:rsid w:val="009331D4"/>
    <w:rsid w:val="00946E39"/>
    <w:rsid w:val="00961AB1"/>
    <w:rsid w:val="00970E5C"/>
    <w:rsid w:val="00973BC0"/>
    <w:rsid w:val="0098457F"/>
    <w:rsid w:val="009A75ED"/>
    <w:rsid w:val="009B2D7F"/>
    <w:rsid w:val="009C05D4"/>
    <w:rsid w:val="009C2E44"/>
    <w:rsid w:val="009C3CDE"/>
    <w:rsid w:val="009C5C8D"/>
    <w:rsid w:val="009D1537"/>
    <w:rsid w:val="009D2C8C"/>
    <w:rsid w:val="009E630E"/>
    <w:rsid w:val="009F6D21"/>
    <w:rsid w:val="00A31EC0"/>
    <w:rsid w:val="00A32F9F"/>
    <w:rsid w:val="00A51CB9"/>
    <w:rsid w:val="00A62BDB"/>
    <w:rsid w:val="00A71433"/>
    <w:rsid w:val="00A74E1E"/>
    <w:rsid w:val="00A76C34"/>
    <w:rsid w:val="00A8584A"/>
    <w:rsid w:val="00A86308"/>
    <w:rsid w:val="00AB4998"/>
    <w:rsid w:val="00AB4BB2"/>
    <w:rsid w:val="00B25A87"/>
    <w:rsid w:val="00B34AA1"/>
    <w:rsid w:val="00B401C5"/>
    <w:rsid w:val="00B50582"/>
    <w:rsid w:val="00B57A0A"/>
    <w:rsid w:val="00B70FE0"/>
    <w:rsid w:val="00B77F44"/>
    <w:rsid w:val="00B96DDA"/>
    <w:rsid w:val="00BB2E8E"/>
    <w:rsid w:val="00BB3CFA"/>
    <w:rsid w:val="00BC042A"/>
    <w:rsid w:val="00BC6311"/>
    <w:rsid w:val="00BE062E"/>
    <w:rsid w:val="00BE245C"/>
    <w:rsid w:val="00BE32B0"/>
    <w:rsid w:val="00BF1B4F"/>
    <w:rsid w:val="00BF4B2B"/>
    <w:rsid w:val="00C00909"/>
    <w:rsid w:val="00C01393"/>
    <w:rsid w:val="00C0558E"/>
    <w:rsid w:val="00C07247"/>
    <w:rsid w:val="00C147FD"/>
    <w:rsid w:val="00C24645"/>
    <w:rsid w:val="00C34AC7"/>
    <w:rsid w:val="00C425C6"/>
    <w:rsid w:val="00C50541"/>
    <w:rsid w:val="00C56936"/>
    <w:rsid w:val="00C624AB"/>
    <w:rsid w:val="00C665DD"/>
    <w:rsid w:val="00C73531"/>
    <w:rsid w:val="00C83811"/>
    <w:rsid w:val="00C94D4A"/>
    <w:rsid w:val="00C94FFE"/>
    <w:rsid w:val="00CB037B"/>
    <w:rsid w:val="00CC4691"/>
    <w:rsid w:val="00CD0CA6"/>
    <w:rsid w:val="00CD53B6"/>
    <w:rsid w:val="00D13107"/>
    <w:rsid w:val="00D1315C"/>
    <w:rsid w:val="00D2107F"/>
    <w:rsid w:val="00D27EF8"/>
    <w:rsid w:val="00D30857"/>
    <w:rsid w:val="00D42A83"/>
    <w:rsid w:val="00D52C78"/>
    <w:rsid w:val="00D760EC"/>
    <w:rsid w:val="00D860D1"/>
    <w:rsid w:val="00D86DE6"/>
    <w:rsid w:val="00D90016"/>
    <w:rsid w:val="00D93561"/>
    <w:rsid w:val="00DA7603"/>
    <w:rsid w:val="00DB2450"/>
    <w:rsid w:val="00DC353A"/>
    <w:rsid w:val="00DD6130"/>
    <w:rsid w:val="00E011DE"/>
    <w:rsid w:val="00E014E3"/>
    <w:rsid w:val="00E01AD1"/>
    <w:rsid w:val="00E25C71"/>
    <w:rsid w:val="00E54E5D"/>
    <w:rsid w:val="00E56C9E"/>
    <w:rsid w:val="00E63EB8"/>
    <w:rsid w:val="00E676EE"/>
    <w:rsid w:val="00E93D5F"/>
    <w:rsid w:val="00EB26A5"/>
    <w:rsid w:val="00EB6210"/>
    <w:rsid w:val="00EC1080"/>
    <w:rsid w:val="00ED18B2"/>
    <w:rsid w:val="00ED5ACE"/>
    <w:rsid w:val="00ED716E"/>
    <w:rsid w:val="00EE2993"/>
    <w:rsid w:val="00EE48BD"/>
    <w:rsid w:val="00EF10AD"/>
    <w:rsid w:val="00F0381F"/>
    <w:rsid w:val="00F06718"/>
    <w:rsid w:val="00F06DF2"/>
    <w:rsid w:val="00F427D2"/>
    <w:rsid w:val="00F449DA"/>
    <w:rsid w:val="00F5443E"/>
    <w:rsid w:val="00F556AB"/>
    <w:rsid w:val="00F56B69"/>
    <w:rsid w:val="00F57353"/>
    <w:rsid w:val="00F65148"/>
    <w:rsid w:val="00F7622A"/>
    <w:rsid w:val="00F85526"/>
    <w:rsid w:val="00F86F86"/>
    <w:rsid w:val="00FA1B7F"/>
    <w:rsid w:val="00FB071E"/>
    <w:rsid w:val="00FC38B7"/>
    <w:rsid w:val="00FD2A16"/>
    <w:rsid w:val="00FE10CE"/>
    <w:rsid w:val="00FE7EAF"/>
    <w:rsid w:val="00FF31B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D9F9D"/>
  <w15:chartTrackingRefBased/>
  <w15:docId w15:val="{8341A3CB-425D-435C-977D-E8901314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360"/>
    <w:rPr>
      <w:color w:val="0563C1" w:themeColor="hyperlink"/>
      <w:u w:val="single"/>
    </w:rPr>
  </w:style>
  <w:style w:type="character" w:styleId="UnresolvedMention">
    <w:name w:val="Unresolved Mention"/>
    <w:basedOn w:val="DefaultParagraphFont"/>
    <w:uiPriority w:val="99"/>
    <w:semiHidden/>
    <w:unhideWhenUsed/>
    <w:rsid w:val="00010360"/>
    <w:rPr>
      <w:color w:val="605E5C"/>
      <w:shd w:val="clear" w:color="auto" w:fill="E1DFDD"/>
    </w:rPr>
  </w:style>
  <w:style w:type="table" w:styleId="TableGrid">
    <w:name w:val="Table Grid"/>
    <w:basedOn w:val="TableNormal"/>
    <w:uiPriority w:val="59"/>
    <w:rsid w:val="00FE1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FE10C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8854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54B7"/>
    <w:rPr>
      <w:sz w:val="20"/>
      <w:szCs w:val="20"/>
    </w:rPr>
  </w:style>
  <w:style w:type="character" w:styleId="FootnoteReference">
    <w:name w:val="footnote reference"/>
    <w:basedOn w:val="DefaultParagraphFont"/>
    <w:uiPriority w:val="99"/>
    <w:semiHidden/>
    <w:unhideWhenUsed/>
    <w:rsid w:val="008854B7"/>
    <w:rPr>
      <w:vertAlign w:val="superscript"/>
    </w:rPr>
  </w:style>
  <w:style w:type="paragraph" w:styleId="Header">
    <w:name w:val="header"/>
    <w:basedOn w:val="Normal"/>
    <w:link w:val="HeaderChar"/>
    <w:uiPriority w:val="99"/>
    <w:unhideWhenUsed/>
    <w:rsid w:val="001C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453"/>
  </w:style>
  <w:style w:type="paragraph" w:styleId="Footer">
    <w:name w:val="footer"/>
    <w:basedOn w:val="Normal"/>
    <w:link w:val="FooterChar"/>
    <w:uiPriority w:val="99"/>
    <w:unhideWhenUsed/>
    <w:rsid w:val="001C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453"/>
  </w:style>
  <w:style w:type="paragraph" w:styleId="ListParagraph">
    <w:name w:val="List Paragraph"/>
    <w:basedOn w:val="Normal"/>
    <w:uiPriority w:val="34"/>
    <w:qFormat/>
    <w:rsid w:val="001558D2"/>
    <w:pPr>
      <w:ind w:left="720"/>
      <w:contextualSpacing/>
    </w:pPr>
    <w:rPr>
      <w:lang w:val="en-IN"/>
    </w:rPr>
  </w:style>
  <w:style w:type="table" w:styleId="PlainTable2">
    <w:name w:val="Plain Table 2"/>
    <w:basedOn w:val="TableNormal"/>
    <w:uiPriority w:val="42"/>
    <w:rsid w:val="00434117"/>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D3085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TMLCite">
    <w:name w:val="HTML Cite"/>
    <w:basedOn w:val="DefaultParagraphFont"/>
    <w:uiPriority w:val="99"/>
    <w:semiHidden/>
    <w:unhideWhenUsed/>
    <w:rsid w:val="00011E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3180">
      <w:bodyDiv w:val="1"/>
      <w:marLeft w:val="0"/>
      <w:marRight w:val="0"/>
      <w:marTop w:val="0"/>
      <w:marBottom w:val="0"/>
      <w:divBdr>
        <w:top w:val="none" w:sz="0" w:space="0" w:color="auto"/>
        <w:left w:val="none" w:sz="0" w:space="0" w:color="auto"/>
        <w:bottom w:val="none" w:sz="0" w:space="0" w:color="auto"/>
        <w:right w:val="none" w:sz="0" w:space="0" w:color="auto"/>
      </w:divBdr>
    </w:div>
    <w:div w:id="51580683">
      <w:bodyDiv w:val="1"/>
      <w:marLeft w:val="0"/>
      <w:marRight w:val="0"/>
      <w:marTop w:val="0"/>
      <w:marBottom w:val="0"/>
      <w:divBdr>
        <w:top w:val="none" w:sz="0" w:space="0" w:color="auto"/>
        <w:left w:val="none" w:sz="0" w:space="0" w:color="auto"/>
        <w:bottom w:val="none" w:sz="0" w:space="0" w:color="auto"/>
        <w:right w:val="none" w:sz="0" w:space="0" w:color="auto"/>
      </w:divBdr>
    </w:div>
    <w:div w:id="137655744">
      <w:bodyDiv w:val="1"/>
      <w:marLeft w:val="0"/>
      <w:marRight w:val="0"/>
      <w:marTop w:val="0"/>
      <w:marBottom w:val="0"/>
      <w:divBdr>
        <w:top w:val="none" w:sz="0" w:space="0" w:color="auto"/>
        <w:left w:val="none" w:sz="0" w:space="0" w:color="auto"/>
        <w:bottom w:val="none" w:sz="0" w:space="0" w:color="auto"/>
        <w:right w:val="none" w:sz="0" w:space="0" w:color="auto"/>
      </w:divBdr>
    </w:div>
    <w:div w:id="158273281">
      <w:bodyDiv w:val="1"/>
      <w:marLeft w:val="0"/>
      <w:marRight w:val="0"/>
      <w:marTop w:val="0"/>
      <w:marBottom w:val="0"/>
      <w:divBdr>
        <w:top w:val="none" w:sz="0" w:space="0" w:color="auto"/>
        <w:left w:val="none" w:sz="0" w:space="0" w:color="auto"/>
        <w:bottom w:val="none" w:sz="0" w:space="0" w:color="auto"/>
        <w:right w:val="none" w:sz="0" w:space="0" w:color="auto"/>
      </w:divBdr>
    </w:div>
    <w:div w:id="212237725">
      <w:bodyDiv w:val="1"/>
      <w:marLeft w:val="0"/>
      <w:marRight w:val="0"/>
      <w:marTop w:val="0"/>
      <w:marBottom w:val="0"/>
      <w:divBdr>
        <w:top w:val="none" w:sz="0" w:space="0" w:color="auto"/>
        <w:left w:val="none" w:sz="0" w:space="0" w:color="auto"/>
        <w:bottom w:val="none" w:sz="0" w:space="0" w:color="auto"/>
        <w:right w:val="none" w:sz="0" w:space="0" w:color="auto"/>
      </w:divBdr>
    </w:div>
    <w:div w:id="432284735">
      <w:bodyDiv w:val="1"/>
      <w:marLeft w:val="0"/>
      <w:marRight w:val="0"/>
      <w:marTop w:val="0"/>
      <w:marBottom w:val="0"/>
      <w:divBdr>
        <w:top w:val="none" w:sz="0" w:space="0" w:color="auto"/>
        <w:left w:val="none" w:sz="0" w:space="0" w:color="auto"/>
        <w:bottom w:val="none" w:sz="0" w:space="0" w:color="auto"/>
        <w:right w:val="none" w:sz="0" w:space="0" w:color="auto"/>
      </w:divBdr>
    </w:div>
    <w:div w:id="464084845">
      <w:bodyDiv w:val="1"/>
      <w:marLeft w:val="0"/>
      <w:marRight w:val="0"/>
      <w:marTop w:val="0"/>
      <w:marBottom w:val="0"/>
      <w:divBdr>
        <w:top w:val="none" w:sz="0" w:space="0" w:color="auto"/>
        <w:left w:val="none" w:sz="0" w:space="0" w:color="auto"/>
        <w:bottom w:val="none" w:sz="0" w:space="0" w:color="auto"/>
        <w:right w:val="none" w:sz="0" w:space="0" w:color="auto"/>
      </w:divBdr>
    </w:div>
    <w:div w:id="499738352">
      <w:bodyDiv w:val="1"/>
      <w:marLeft w:val="0"/>
      <w:marRight w:val="0"/>
      <w:marTop w:val="0"/>
      <w:marBottom w:val="0"/>
      <w:divBdr>
        <w:top w:val="none" w:sz="0" w:space="0" w:color="auto"/>
        <w:left w:val="none" w:sz="0" w:space="0" w:color="auto"/>
        <w:bottom w:val="none" w:sz="0" w:space="0" w:color="auto"/>
        <w:right w:val="none" w:sz="0" w:space="0" w:color="auto"/>
      </w:divBdr>
      <w:divsChild>
        <w:div w:id="1873154350">
          <w:marLeft w:val="0"/>
          <w:marRight w:val="0"/>
          <w:marTop w:val="0"/>
          <w:marBottom w:val="0"/>
          <w:divBdr>
            <w:top w:val="none" w:sz="0" w:space="0" w:color="auto"/>
            <w:left w:val="none" w:sz="0" w:space="0" w:color="auto"/>
            <w:bottom w:val="none" w:sz="0" w:space="0" w:color="auto"/>
            <w:right w:val="none" w:sz="0" w:space="0" w:color="auto"/>
          </w:divBdr>
        </w:div>
      </w:divsChild>
    </w:div>
    <w:div w:id="701974072">
      <w:bodyDiv w:val="1"/>
      <w:marLeft w:val="0"/>
      <w:marRight w:val="0"/>
      <w:marTop w:val="0"/>
      <w:marBottom w:val="0"/>
      <w:divBdr>
        <w:top w:val="none" w:sz="0" w:space="0" w:color="auto"/>
        <w:left w:val="none" w:sz="0" w:space="0" w:color="auto"/>
        <w:bottom w:val="none" w:sz="0" w:space="0" w:color="auto"/>
        <w:right w:val="none" w:sz="0" w:space="0" w:color="auto"/>
      </w:divBdr>
    </w:div>
    <w:div w:id="718473686">
      <w:bodyDiv w:val="1"/>
      <w:marLeft w:val="0"/>
      <w:marRight w:val="0"/>
      <w:marTop w:val="0"/>
      <w:marBottom w:val="0"/>
      <w:divBdr>
        <w:top w:val="none" w:sz="0" w:space="0" w:color="auto"/>
        <w:left w:val="none" w:sz="0" w:space="0" w:color="auto"/>
        <w:bottom w:val="none" w:sz="0" w:space="0" w:color="auto"/>
        <w:right w:val="none" w:sz="0" w:space="0" w:color="auto"/>
      </w:divBdr>
    </w:div>
    <w:div w:id="840584922">
      <w:bodyDiv w:val="1"/>
      <w:marLeft w:val="0"/>
      <w:marRight w:val="0"/>
      <w:marTop w:val="0"/>
      <w:marBottom w:val="0"/>
      <w:divBdr>
        <w:top w:val="none" w:sz="0" w:space="0" w:color="auto"/>
        <w:left w:val="none" w:sz="0" w:space="0" w:color="auto"/>
        <w:bottom w:val="none" w:sz="0" w:space="0" w:color="auto"/>
        <w:right w:val="none" w:sz="0" w:space="0" w:color="auto"/>
      </w:divBdr>
    </w:div>
    <w:div w:id="876963510">
      <w:bodyDiv w:val="1"/>
      <w:marLeft w:val="0"/>
      <w:marRight w:val="0"/>
      <w:marTop w:val="0"/>
      <w:marBottom w:val="0"/>
      <w:divBdr>
        <w:top w:val="none" w:sz="0" w:space="0" w:color="auto"/>
        <w:left w:val="none" w:sz="0" w:space="0" w:color="auto"/>
        <w:bottom w:val="none" w:sz="0" w:space="0" w:color="auto"/>
        <w:right w:val="none" w:sz="0" w:space="0" w:color="auto"/>
      </w:divBdr>
    </w:div>
    <w:div w:id="963535395">
      <w:bodyDiv w:val="1"/>
      <w:marLeft w:val="0"/>
      <w:marRight w:val="0"/>
      <w:marTop w:val="0"/>
      <w:marBottom w:val="0"/>
      <w:divBdr>
        <w:top w:val="none" w:sz="0" w:space="0" w:color="auto"/>
        <w:left w:val="none" w:sz="0" w:space="0" w:color="auto"/>
        <w:bottom w:val="none" w:sz="0" w:space="0" w:color="auto"/>
        <w:right w:val="none" w:sz="0" w:space="0" w:color="auto"/>
      </w:divBdr>
    </w:div>
    <w:div w:id="1178469687">
      <w:bodyDiv w:val="1"/>
      <w:marLeft w:val="0"/>
      <w:marRight w:val="0"/>
      <w:marTop w:val="0"/>
      <w:marBottom w:val="0"/>
      <w:divBdr>
        <w:top w:val="none" w:sz="0" w:space="0" w:color="auto"/>
        <w:left w:val="none" w:sz="0" w:space="0" w:color="auto"/>
        <w:bottom w:val="none" w:sz="0" w:space="0" w:color="auto"/>
        <w:right w:val="none" w:sz="0" w:space="0" w:color="auto"/>
      </w:divBdr>
    </w:div>
    <w:div w:id="1199052210">
      <w:bodyDiv w:val="1"/>
      <w:marLeft w:val="0"/>
      <w:marRight w:val="0"/>
      <w:marTop w:val="0"/>
      <w:marBottom w:val="0"/>
      <w:divBdr>
        <w:top w:val="none" w:sz="0" w:space="0" w:color="auto"/>
        <w:left w:val="none" w:sz="0" w:space="0" w:color="auto"/>
        <w:bottom w:val="none" w:sz="0" w:space="0" w:color="auto"/>
        <w:right w:val="none" w:sz="0" w:space="0" w:color="auto"/>
      </w:divBdr>
    </w:div>
    <w:div w:id="1210603789">
      <w:bodyDiv w:val="1"/>
      <w:marLeft w:val="0"/>
      <w:marRight w:val="0"/>
      <w:marTop w:val="0"/>
      <w:marBottom w:val="0"/>
      <w:divBdr>
        <w:top w:val="none" w:sz="0" w:space="0" w:color="auto"/>
        <w:left w:val="none" w:sz="0" w:space="0" w:color="auto"/>
        <w:bottom w:val="none" w:sz="0" w:space="0" w:color="auto"/>
        <w:right w:val="none" w:sz="0" w:space="0" w:color="auto"/>
      </w:divBdr>
    </w:div>
    <w:div w:id="1232539504">
      <w:bodyDiv w:val="1"/>
      <w:marLeft w:val="0"/>
      <w:marRight w:val="0"/>
      <w:marTop w:val="0"/>
      <w:marBottom w:val="0"/>
      <w:divBdr>
        <w:top w:val="none" w:sz="0" w:space="0" w:color="auto"/>
        <w:left w:val="none" w:sz="0" w:space="0" w:color="auto"/>
        <w:bottom w:val="none" w:sz="0" w:space="0" w:color="auto"/>
        <w:right w:val="none" w:sz="0" w:space="0" w:color="auto"/>
      </w:divBdr>
    </w:div>
    <w:div w:id="1262690304">
      <w:bodyDiv w:val="1"/>
      <w:marLeft w:val="0"/>
      <w:marRight w:val="0"/>
      <w:marTop w:val="0"/>
      <w:marBottom w:val="0"/>
      <w:divBdr>
        <w:top w:val="none" w:sz="0" w:space="0" w:color="auto"/>
        <w:left w:val="none" w:sz="0" w:space="0" w:color="auto"/>
        <w:bottom w:val="none" w:sz="0" w:space="0" w:color="auto"/>
        <w:right w:val="none" w:sz="0" w:space="0" w:color="auto"/>
      </w:divBdr>
    </w:div>
    <w:div w:id="1294171247">
      <w:bodyDiv w:val="1"/>
      <w:marLeft w:val="0"/>
      <w:marRight w:val="0"/>
      <w:marTop w:val="0"/>
      <w:marBottom w:val="0"/>
      <w:divBdr>
        <w:top w:val="none" w:sz="0" w:space="0" w:color="auto"/>
        <w:left w:val="none" w:sz="0" w:space="0" w:color="auto"/>
        <w:bottom w:val="none" w:sz="0" w:space="0" w:color="auto"/>
        <w:right w:val="none" w:sz="0" w:space="0" w:color="auto"/>
      </w:divBdr>
    </w:div>
    <w:div w:id="1341274301">
      <w:bodyDiv w:val="1"/>
      <w:marLeft w:val="0"/>
      <w:marRight w:val="0"/>
      <w:marTop w:val="0"/>
      <w:marBottom w:val="0"/>
      <w:divBdr>
        <w:top w:val="none" w:sz="0" w:space="0" w:color="auto"/>
        <w:left w:val="none" w:sz="0" w:space="0" w:color="auto"/>
        <w:bottom w:val="none" w:sz="0" w:space="0" w:color="auto"/>
        <w:right w:val="none" w:sz="0" w:space="0" w:color="auto"/>
      </w:divBdr>
    </w:div>
    <w:div w:id="1453741854">
      <w:bodyDiv w:val="1"/>
      <w:marLeft w:val="0"/>
      <w:marRight w:val="0"/>
      <w:marTop w:val="0"/>
      <w:marBottom w:val="0"/>
      <w:divBdr>
        <w:top w:val="none" w:sz="0" w:space="0" w:color="auto"/>
        <w:left w:val="none" w:sz="0" w:space="0" w:color="auto"/>
        <w:bottom w:val="none" w:sz="0" w:space="0" w:color="auto"/>
        <w:right w:val="none" w:sz="0" w:space="0" w:color="auto"/>
      </w:divBdr>
    </w:div>
    <w:div w:id="1468553086">
      <w:bodyDiv w:val="1"/>
      <w:marLeft w:val="0"/>
      <w:marRight w:val="0"/>
      <w:marTop w:val="0"/>
      <w:marBottom w:val="0"/>
      <w:divBdr>
        <w:top w:val="none" w:sz="0" w:space="0" w:color="auto"/>
        <w:left w:val="none" w:sz="0" w:space="0" w:color="auto"/>
        <w:bottom w:val="none" w:sz="0" w:space="0" w:color="auto"/>
        <w:right w:val="none" w:sz="0" w:space="0" w:color="auto"/>
      </w:divBdr>
    </w:div>
    <w:div w:id="1552303042">
      <w:bodyDiv w:val="1"/>
      <w:marLeft w:val="0"/>
      <w:marRight w:val="0"/>
      <w:marTop w:val="0"/>
      <w:marBottom w:val="0"/>
      <w:divBdr>
        <w:top w:val="none" w:sz="0" w:space="0" w:color="auto"/>
        <w:left w:val="none" w:sz="0" w:space="0" w:color="auto"/>
        <w:bottom w:val="none" w:sz="0" w:space="0" w:color="auto"/>
        <w:right w:val="none" w:sz="0" w:space="0" w:color="auto"/>
      </w:divBdr>
      <w:divsChild>
        <w:div w:id="134877929">
          <w:marLeft w:val="0"/>
          <w:marRight w:val="0"/>
          <w:marTop w:val="0"/>
          <w:marBottom w:val="0"/>
          <w:divBdr>
            <w:top w:val="none" w:sz="0" w:space="0" w:color="auto"/>
            <w:left w:val="none" w:sz="0" w:space="0" w:color="auto"/>
            <w:bottom w:val="none" w:sz="0" w:space="0" w:color="auto"/>
            <w:right w:val="none" w:sz="0" w:space="0" w:color="auto"/>
          </w:divBdr>
        </w:div>
        <w:div w:id="2039965809">
          <w:marLeft w:val="0"/>
          <w:marRight w:val="0"/>
          <w:marTop w:val="0"/>
          <w:marBottom w:val="0"/>
          <w:divBdr>
            <w:top w:val="none" w:sz="0" w:space="0" w:color="auto"/>
            <w:left w:val="none" w:sz="0" w:space="0" w:color="auto"/>
            <w:bottom w:val="none" w:sz="0" w:space="0" w:color="auto"/>
            <w:right w:val="none" w:sz="0" w:space="0" w:color="auto"/>
          </w:divBdr>
        </w:div>
      </w:divsChild>
    </w:div>
    <w:div w:id="1610114281">
      <w:bodyDiv w:val="1"/>
      <w:marLeft w:val="0"/>
      <w:marRight w:val="0"/>
      <w:marTop w:val="0"/>
      <w:marBottom w:val="0"/>
      <w:divBdr>
        <w:top w:val="none" w:sz="0" w:space="0" w:color="auto"/>
        <w:left w:val="none" w:sz="0" w:space="0" w:color="auto"/>
        <w:bottom w:val="none" w:sz="0" w:space="0" w:color="auto"/>
        <w:right w:val="none" w:sz="0" w:space="0" w:color="auto"/>
      </w:divBdr>
    </w:div>
    <w:div w:id="1616709589">
      <w:bodyDiv w:val="1"/>
      <w:marLeft w:val="0"/>
      <w:marRight w:val="0"/>
      <w:marTop w:val="0"/>
      <w:marBottom w:val="0"/>
      <w:divBdr>
        <w:top w:val="none" w:sz="0" w:space="0" w:color="auto"/>
        <w:left w:val="none" w:sz="0" w:space="0" w:color="auto"/>
        <w:bottom w:val="none" w:sz="0" w:space="0" w:color="auto"/>
        <w:right w:val="none" w:sz="0" w:space="0" w:color="auto"/>
      </w:divBdr>
    </w:div>
    <w:div w:id="1730227113">
      <w:bodyDiv w:val="1"/>
      <w:marLeft w:val="0"/>
      <w:marRight w:val="0"/>
      <w:marTop w:val="0"/>
      <w:marBottom w:val="0"/>
      <w:divBdr>
        <w:top w:val="none" w:sz="0" w:space="0" w:color="auto"/>
        <w:left w:val="none" w:sz="0" w:space="0" w:color="auto"/>
        <w:bottom w:val="none" w:sz="0" w:space="0" w:color="auto"/>
        <w:right w:val="none" w:sz="0" w:space="0" w:color="auto"/>
      </w:divBdr>
      <w:divsChild>
        <w:div w:id="1655179230">
          <w:marLeft w:val="0"/>
          <w:marRight w:val="0"/>
          <w:marTop w:val="0"/>
          <w:marBottom w:val="0"/>
          <w:divBdr>
            <w:top w:val="none" w:sz="0" w:space="0" w:color="auto"/>
            <w:left w:val="none" w:sz="0" w:space="0" w:color="auto"/>
            <w:bottom w:val="none" w:sz="0" w:space="0" w:color="auto"/>
            <w:right w:val="none" w:sz="0" w:space="0" w:color="auto"/>
          </w:divBdr>
        </w:div>
      </w:divsChild>
    </w:div>
    <w:div w:id="1741443810">
      <w:bodyDiv w:val="1"/>
      <w:marLeft w:val="0"/>
      <w:marRight w:val="0"/>
      <w:marTop w:val="0"/>
      <w:marBottom w:val="0"/>
      <w:divBdr>
        <w:top w:val="none" w:sz="0" w:space="0" w:color="auto"/>
        <w:left w:val="none" w:sz="0" w:space="0" w:color="auto"/>
        <w:bottom w:val="none" w:sz="0" w:space="0" w:color="auto"/>
        <w:right w:val="none" w:sz="0" w:space="0" w:color="auto"/>
      </w:divBdr>
    </w:div>
    <w:div w:id="1746761710">
      <w:bodyDiv w:val="1"/>
      <w:marLeft w:val="0"/>
      <w:marRight w:val="0"/>
      <w:marTop w:val="0"/>
      <w:marBottom w:val="0"/>
      <w:divBdr>
        <w:top w:val="none" w:sz="0" w:space="0" w:color="auto"/>
        <w:left w:val="none" w:sz="0" w:space="0" w:color="auto"/>
        <w:bottom w:val="none" w:sz="0" w:space="0" w:color="auto"/>
        <w:right w:val="none" w:sz="0" w:space="0" w:color="auto"/>
      </w:divBdr>
    </w:div>
    <w:div w:id="1747872597">
      <w:bodyDiv w:val="1"/>
      <w:marLeft w:val="0"/>
      <w:marRight w:val="0"/>
      <w:marTop w:val="0"/>
      <w:marBottom w:val="0"/>
      <w:divBdr>
        <w:top w:val="none" w:sz="0" w:space="0" w:color="auto"/>
        <w:left w:val="none" w:sz="0" w:space="0" w:color="auto"/>
        <w:bottom w:val="none" w:sz="0" w:space="0" w:color="auto"/>
        <w:right w:val="none" w:sz="0" w:space="0" w:color="auto"/>
      </w:divBdr>
    </w:div>
    <w:div w:id="1853452048">
      <w:bodyDiv w:val="1"/>
      <w:marLeft w:val="0"/>
      <w:marRight w:val="0"/>
      <w:marTop w:val="0"/>
      <w:marBottom w:val="0"/>
      <w:divBdr>
        <w:top w:val="none" w:sz="0" w:space="0" w:color="auto"/>
        <w:left w:val="none" w:sz="0" w:space="0" w:color="auto"/>
        <w:bottom w:val="none" w:sz="0" w:space="0" w:color="auto"/>
        <w:right w:val="none" w:sz="0" w:space="0" w:color="auto"/>
      </w:divBdr>
    </w:div>
    <w:div w:id="2000498883">
      <w:bodyDiv w:val="1"/>
      <w:marLeft w:val="0"/>
      <w:marRight w:val="0"/>
      <w:marTop w:val="0"/>
      <w:marBottom w:val="0"/>
      <w:divBdr>
        <w:top w:val="none" w:sz="0" w:space="0" w:color="auto"/>
        <w:left w:val="none" w:sz="0" w:space="0" w:color="auto"/>
        <w:bottom w:val="none" w:sz="0" w:space="0" w:color="auto"/>
        <w:right w:val="none" w:sz="0" w:space="0" w:color="auto"/>
      </w:divBdr>
      <w:divsChild>
        <w:div w:id="1085883245">
          <w:marLeft w:val="0"/>
          <w:marRight w:val="0"/>
          <w:marTop w:val="0"/>
          <w:marBottom w:val="0"/>
          <w:divBdr>
            <w:top w:val="none" w:sz="0" w:space="0" w:color="auto"/>
            <w:left w:val="none" w:sz="0" w:space="0" w:color="auto"/>
            <w:bottom w:val="none" w:sz="0" w:space="0" w:color="auto"/>
            <w:right w:val="none" w:sz="0" w:space="0" w:color="auto"/>
          </w:divBdr>
        </w:div>
        <w:div w:id="1376925996">
          <w:marLeft w:val="0"/>
          <w:marRight w:val="0"/>
          <w:marTop w:val="0"/>
          <w:marBottom w:val="0"/>
          <w:divBdr>
            <w:top w:val="none" w:sz="0" w:space="0" w:color="auto"/>
            <w:left w:val="none" w:sz="0" w:space="0" w:color="auto"/>
            <w:bottom w:val="none" w:sz="0" w:space="0" w:color="auto"/>
            <w:right w:val="none" w:sz="0" w:space="0" w:color="auto"/>
          </w:divBdr>
        </w:div>
      </w:divsChild>
    </w:div>
    <w:div w:id="203753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D5B4F-A619-46DE-B033-FCDB98943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7</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Abhishek Kabiraj</cp:lastModifiedBy>
  <cp:revision>120</cp:revision>
  <cp:lastPrinted>2025-09-02T14:09:00Z</cp:lastPrinted>
  <dcterms:created xsi:type="dcterms:W3CDTF">2025-02-24T18:02:00Z</dcterms:created>
  <dcterms:modified xsi:type="dcterms:W3CDTF">2026-01-17T08:44:00Z</dcterms:modified>
</cp:coreProperties>
</file>